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3" w:rsidRPr="0090383C" w:rsidRDefault="00C42263" w:rsidP="00C42263">
      <w:pPr>
        <w:ind w:left="3888" w:firstLine="1296"/>
        <w:jc w:val="both"/>
        <w:rPr>
          <w:rFonts w:ascii="Times New Roman" w:hAnsi="Times New Roman"/>
          <w:sz w:val="24"/>
          <w:szCs w:val="24"/>
        </w:rPr>
      </w:pPr>
      <w:bookmarkStart w:id="0" w:name="_GoBack"/>
      <w:bookmarkEnd w:id="0"/>
      <w:r w:rsidRPr="0090383C">
        <w:rPr>
          <w:rFonts w:ascii="Times New Roman" w:hAnsi="Times New Roman"/>
          <w:sz w:val="24"/>
          <w:szCs w:val="24"/>
        </w:rPr>
        <w:t xml:space="preserve">PATVIRTINTA </w:t>
      </w:r>
    </w:p>
    <w:p w:rsidR="00C42263" w:rsidRPr="0090383C" w:rsidRDefault="00C42263" w:rsidP="00C42263">
      <w:pPr>
        <w:ind w:left="3888" w:firstLine="1296"/>
        <w:jc w:val="both"/>
        <w:rPr>
          <w:rFonts w:ascii="Times New Roman" w:hAnsi="Times New Roman"/>
          <w:sz w:val="24"/>
          <w:szCs w:val="24"/>
        </w:rPr>
      </w:pPr>
      <w:r w:rsidRPr="0090383C">
        <w:rPr>
          <w:rFonts w:ascii="Times New Roman" w:hAnsi="Times New Roman"/>
          <w:sz w:val="24"/>
          <w:szCs w:val="24"/>
        </w:rPr>
        <w:t xml:space="preserve">Alytaus miesto savivaldybės tarybos  </w:t>
      </w:r>
    </w:p>
    <w:p w:rsidR="00C42263" w:rsidRPr="0090383C" w:rsidRDefault="000E12A5" w:rsidP="00C42263">
      <w:pPr>
        <w:ind w:left="3888" w:firstLine="1296"/>
        <w:jc w:val="both"/>
        <w:rPr>
          <w:rFonts w:ascii="Times New Roman" w:hAnsi="Times New Roman"/>
          <w:sz w:val="24"/>
          <w:szCs w:val="24"/>
        </w:rPr>
      </w:pPr>
      <w:r w:rsidRPr="0090383C">
        <w:rPr>
          <w:rFonts w:ascii="Times New Roman" w:hAnsi="Times New Roman"/>
          <w:sz w:val="24"/>
          <w:szCs w:val="24"/>
        </w:rPr>
        <w:t>2020</w:t>
      </w:r>
      <w:r w:rsidR="00C42263" w:rsidRPr="0090383C">
        <w:rPr>
          <w:rFonts w:ascii="Times New Roman" w:hAnsi="Times New Roman"/>
          <w:sz w:val="24"/>
          <w:szCs w:val="24"/>
        </w:rPr>
        <w:t xml:space="preserve"> </w:t>
      </w:r>
      <w:r w:rsidR="002F64A9" w:rsidRPr="0090383C">
        <w:rPr>
          <w:rFonts w:ascii="Times New Roman" w:hAnsi="Times New Roman"/>
          <w:sz w:val="24"/>
          <w:szCs w:val="24"/>
        </w:rPr>
        <w:t xml:space="preserve"> </w:t>
      </w:r>
      <w:r w:rsidR="0093219C" w:rsidRPr="0090383C">
        <w:rPr>
          <w:rFonts w:ascii="Times New Roman" w:hAnsi="Times New Roman"/>
          <w:sz w:val="24"/>
          <w:szCs w:val="24"/>
        </w:rPr>
        <w:t>m.</w:t>
      </w:r>
      <w:r w:rsidR="00C42263" w:rsidRPr="0090383C">
        <w:rPr>
          <w:rFonts w:ascii="Times New Roman" w:hAnsi="Times New Roman"/>
          <w:sz w:val="24"/>
          <w:szCs w:val="24"/>
        </w:rPr>
        <w:t xml:space="preserve"> </w:t>
      </w:r>
    </w:p>
    <w:p w:rsidR="00C42263" w:rsidRPr="0090383C" w:rsidRDefault="00CD16DE" w:rsidP="00C42263">
      <w:pPr>
        <w:ind w:left="3888" w:firstLine="1296"/>
        <w:jc w:val="both"/>
        <w:rPr>
          <w:rFonts w:ascii="Times New Roman" w:hAnsi="Times New Roman"/>
          <w:sz w:val="24"/>
          <w:szCs w:val="24"/>
        </w:rPr>
      </w:pPr>
      <w:r w:rsidRPr="0090383C">
        <w:rPr>
          <w:rFonts w:ascii="Times New Roman" w:hAnsi="Times New Roman"/>
          <w:sz w:val="24"/>
          <w:szCs w:val="24"/>
        </w:rPr>
        <w:t xml:space="preserve">sprendimu Nr.  </w:t>
      </w:r>
    </w:p>
    <w:p w:rsidR="00A81C80" w:rsidRPr="0090383C" w:rsidRDefault="00A81C80" w:rsidP="00A81C80">
      <w:pPr>
        <w:jc w:val="both"/>
        <w:rPr>
          <w:rFonts w:ascii="Times New Roman" w:hAnsi="Times New Roman"/>
          <w:sz w:val="24"/>
          <w:szCs w:val="24"/>
        </w:rPr>
      </w:pPr>
    </w:p>
    <w:p w:rsidR="00A81C80" w:rsidRPr="0090383C" w:rsidRDefault="000E12A5" w:rsidP="00A81C80">
      <w:pPr>
        <w:jc w:val="center"/>
        <w:rPr>
          <w:rFonts w:ascii="Times New Roman" w:eastAsia="Times New Roman" w:hAnsi="Times New Roman"/>
          <w:b/>
          <w:sz w:val="24"/>
          <w:szCs w:val="24"/>
          <w:lang w:eastAsia="ko-KR"/>
        </w:rPr>
      </w:pPr>
      <w:r w:rsidRPr="0090383C">
        <w:rPr>
          <w:rFonts w:ascii="Times New Roman" w:eastAsia="Times New Roman" w:hAnsi="Times New Roman"/>
          <w:b/>
          <w:sz w:val="24"/>
          <w:szCs w:val="24"/>
          <w:lang w:eastAsia="ko-KR"/>
        </w:rPr>
        <w:t>ALYTAUS MIESTO SAVIVALDYBĖS 2020–2022</w:t>
      </w:r>
      <w:r w:rsidR="00A81C80" w:rsidRPr="0090383C">
        <w:rPr>
          <w:rFonts w:ascii="Times New Roman" w:eastAsia="Times New Roman" w:hAnsi="Times New Roman"/>
          <w:b/>
          <w:sz w:val="24"/>
          <w:szCs w:val="24"/>
          <w:lang w:eastAsia="ko-KR"/>
        </w:rPr>
        <w:t xml:space="preserve"> METŲ STRATEGINIS VEIKLOS PLANAS</w:t>
      </w:r>
    </w:p>
    <w:p w:rsidR="00A81C80" w:rsidRPr="0090383C" w:rsidRDefault="00A81C80" w:rsidP="00A81C80">
      <w:pPr>
        <w:rPr>
          <w:rFonts w:ascii="Times New Roman" w:eastAsia="Times New Roman" w:hAnsi="Times New Roman"/>
          <w:b/>
          <w:sz w:val="24"/>
          <w:szCs w:val="24"/>
          <w:lang w:eastAsia="ko-KR"/>
        </w:rPr>
      </w:pPr>
    </w:p>
    <w:p w:rsidR="00A81C80" w:rsidRPr="0090383C" w:rsidRDefault="00A81C80" w:rsidP="00A81C80">
      <w:pPr>
        <w:jc w:val="center"/>
        <w:rPr>
          <w:rFonts w:ascii="Times New Roman" w:eastAsia="Times New Roman" w:hAnsi="Times New Roman"/>
          <w:b/>
          <w:bCs/>
          <w:sz w:val="24"/>
          <w:szCs w:val="24"/>
        </w:rPr>
      </w:pPr>
      <w:r w:rsidRPr="0090383C">
        <w:rPr>
          <w:rFonts w:ascii="Times New Roman" w:eastAsia="Times New Roman" w:hAnsi="Times New Roman"/>
          <w:b/>
          <w:bCs/>
          <w:sz w:val="24"/>
          <w:szCs w:val="24"/>
        </w:rPr>
        <w:t>VEIKLOS KONTEKSTAS</w:t>
      </w:r>
    </w:p>
    <w:p w:rsidR="00A81C80" w:rsidRPr="0090383C" w:rsidRDefault="00A81C80" w:rsidP="00A81C80">
      <w:pPr>
        <w:jc w:val="center"/>
        <w:rPr>
          <w:rFonts w:ascii="Times New Roman" w:eastAsia="Times New Roman" w:hAnsi="Times New Roman"/>
          <w:bCs/>
          <w:sz w:val="24"/>
          <w:szCs w:val="24"/>
        </w:rPr>
      </w:pPr>
    </w:p>
    <w:p w:rsidR="00A81C80" w:rsidRPr="0090383C" w:rsidRDefault="00A81C80" w:rsidP="00A81C80">
      <w:pPr>
        <w:tabs>
          <w:tab w:val="left" w:pos="1298"/>
        </w:tabs>
        <w:jc w:val="both"/>
        <w:rPr>
          <w:rFonts w:ascii="Times New Roman" w:eastAsia="Times New Roman" w:hAnsi="Times New Roman"/>
          <w:sz w:val="24"/>
          <w:szCs w:val="24"/>
        </w:rPr>
      </w:pPr>
      <w:r w:rsidRPr="0090383C">
        <w:rPr>
          <w:rFonts w:ascii="Times New Roman" w:hAnsi="Times New Roman"/>
          <w:sz w:val="24"/>
          <w:szCs w:val="24"/>
        </w:rPr>
        <w:tab/>
        <w:t>Alytaus miesto savivaldybės, kaip institucijos, misija – plėtoti ir skatinti vietos savivaldą kaip demokratinės valstybės raidos pagrindą, kurti ir vykdyti efektyvią Alytaus miesto savivaldybės ūkinę-finansinę veiklą, užtikrinti miesto bendruomenės poreikių tenkinimą ir subalansuotą plėtrą.</w:t>
      </w:r>
    </w:p>
    <w:p w:rsidR="00A81C80" w:rsidRPr="0090383C" w:rsidRDefault="00A81C80" w:rsidP="00A81C80">
      <w:pPr>
        <w:tabs>
          <w:tab w:val="left" w:pos="1298"/>
        </w:tabs>
        <w:jc w:val="both"/>
        <w:rPr>
          <w:rFonts w:ascii="Times New Roman" w:hAnsi="Times New Roman"/>
          <w:sz w:val="24"/>
          <w:szCs w:val="24"/>
        </w:rPr>
      </w:pPr>
      <w:r w:rsidRPr="0090383C">
        <w:rPr>
          <w:rFonts w:ascii="Times New Roman" w:eastAsia="Times New Roman" w:hAnsi="Times New Roman"/>
          <w:sz w:val="24"/>
          <w:szCs w:val="24"/>
        </w:rPr>
        <w:tab/>
      </w:r>
      <w:r w:rsidRPr="0090383C">
        <w:rPr>
          <w:rFonts w:ascii="Times New Roman" w:hAnsi="Times New Roman"/>
          <w:sz w:val="24"/>
          <w:szCs w:val="24"/>
        </w:rPr>
        <w:t>Alytaus miesto savivaldybės</w:t>
      </w:r>
      <w:r w:rsidRPr="0090383C">
        <w:rPr>
          <w:rFonts w:ascii="Times New Roman" w:hAnsi="Times New Roman"/>
          <w:sz w:val="24"/>
          <w:szCs w:val="24"/>
          <w:lang w:eastAsia="ar-SA"/>
        </w:rPr>
        <w:t xml:space="preserve"> </w:t>
      </w:r>
      <w:r w:rsidR="000E12A5" w:rsidRPr="0090383C">
        <w:rPr>
          <w:rFonts w:ascii="Times New Roman" w:hAnsi="Times New Roman"/>
          <w:sz w:val="24"/>
          <w:szCs w:val="24"/>
        </w:rPr>
        <w:t>2020–2022</w:t>
      </w:r>
      <w:r w:rsidRPr="0090383C">
        <w:rPr>
          <w:rFonts w:ascii="Times New Roman" w:hAnsi="Times New Roman"/>
          <w:sz w:val="24"/>
          <w:szCs w:val="24"/>
        </w:rPr>
        <w:t xml:space="preserve"> m.</w:t>
      </w:r>
      <w:r w:rsidRPr="0090383C">
        <w:rPr>
          <w:rFonts w:ascii="Times New Roman" w:hAnsi="Times New Roman"/>
          <w:sz w:val="24"/>
          <w:szCs w:val="24"/>
          <w:lang w:eastAsia="ar-SA"/>
        </w:rPr>
        <w:t xml:space="preserve"> strateginis veiklos planas skirtas įgyvendinti </w:t>
      </w:r>
      <w:r w:rsidRPr="0090383C">
        <w:rPr>
          <w:rFonts w:ascii="Times New Roman" w:hAnsi="Times New Roman"/>
          <w:bCs/>
          <w:sz w:val="24"/>
          <w:szCs w:val="24"/>
        </w:rPr>
        <w:t xml:space="preserve">Alytaus miesto plėtros iki 2020 metų strateginį planą, </w:t>
      </w:r>
      <w:r w:rsidRPr="0090383C">
        <w:rPr>
          <w:rFonts w:ascii="Times New Roman" w:hAnsi="Times New Roman"/>
          <w:sz w:val="24"/>
          <w:szCs w:val="24"/>
          <w:lang w:eastAsia="ar-SA"/>
        </w:rPr>
        <w:t xml:space="preserve">patvirtintą </w:t>
      </w:r>
      <w:r w:rsidRPr="0090383C">
        <w:rPr>
          <w:rFonts w:ascii="Times New Roman" w:hAnsi="Times New Roman"/>
          <w:sz w:val="24"/>
          <w:szCs w:val="24"/>
        </w:rPr>
        <w:t xml:space="preserve">Alytaus miesto savivaldybės tarybos 2014-02-27 </w:t>
      </w:r>
      <w:r w:rsidRPr="0090383C">
        <w:rPr>
          <w:rFonts w:ascii="Times New Roman" w:hAnsi="Times New Roman"/>
          <w:sz w:val="24"/>
          <w:szCs w:val="24"/>
          <w:lang w:eastAsia="ar-SA"/>
        </w:rPr>
        <w:t xml:space="preserve">sprendimu Nr. </w:t>
      </w:r>
      <w:r w:rsidRPr="0090383C">
        <w:rPr>
          <w:rFonts w:ascii="Times New Roman" w:hAnsi="Times New Roman"/>
          <w:bCs/>
          <w:sz w:val="24"/>
          <w:szCs w:val="24"/>
        </w:rPr>
        <w:t>T-34</w:t>
      </w:r>
      <w:r w:rsidRPr="0090383C">
        <w:rPr>
          <w:rFonts w:ascii="Times New Roman" w:hAnsi="Times New Roman"/>
          <w:sz w:val="24"/>
          <w:szCs w:val="24"/>
          <w:lang w:eastAsia="ar-SA"/>
        </w:rPr>
        <w:t xml:space="preserve">. </w:t>
      </w:r>
      <w:r w:rsidRPr="0090383C">
        <w:rPr>
          <w:rFonts w:ascii="Times New Roman" w:hAnsi="Times New Roman"/>
          <w:sz w:val="24"/>
          <w:szCs w:val="24"/>
        </w:rPr>
        <w:t>Alytaus miesto savivaldybės</w:t>
      </w:r>
      <w:r w:rsidRPr="0090383C">
        <w:rPr>
          <w:rFonts w:ascii="Times New Roman" w:hAnsi="Times New Roman"/>
          <w:sz w:val="24"/>
          <w:szCs w:val="24"/>
          <w:lang w:eastAsia="ar-SA"/>
        </w:rPr>
        <w:t xml:space="preserve"> strateginio veiklos plano strateginiai tikslai atitinka </w:t>
      </w:r>
      <w:r w:rsidRPr="0090383C">
        <w:rPr>
          <w:rFonts w:ascii="Times New Roman" w:hAnsi="Times New Roman"/>
          <w:bCs/>
          <w:sz w:val="24"/>
          <w:szCs w:val="24"/>
        </w:rPr>
        <w:t xml:space="preserve">Alytaus miesto plėtros iki 2020 metų plano </w:t>
      </w:r>
      <w:r w:rsidRPr="0090383C">
        <w:rPr>
          <w:rFonts w:ascii="Times New Roman" w:hAnsi="Times New Roman"/>
          <w:sz w:val="24"/>
          <w:szCs w:val="24"/>
          <w:lang w:eastAsia="ar-SA"/>
        </w:rPr>
        <w:t xml:space="preserve">tikslus. </w:t>
      </w:r>
      <w:r w:rsidRPr="0090383C">
        <w:rPr>
          <w:rFonts w:ascii="Times New Roman" w:hAnsi="Times New Roman"/>
          <w:sz w:val="24"/>
          <w:szCs w:val="24"/>
        </w:rPr>
        <w:t xml:space="preserve">Strateginis veiklos planas parengtas siekiant efektyviai panaudoti turimus bei planuojamus gauti finansinius, materialiuosius ir darbo išteklius misijai vykdyti ir užsibrėžtiems tikslams pasiekti, atlikti veiklos stebėseną ir atsiskaitymą už rezultatus. </w:t>
      </w:r>
      <w:r w:rsidR="000E12A5" w:rsidRPr="0090383C">
        <w:rPr>
          <w:rFonts w:ascii="Times New Roman" w:hAnsi="Times New Roman"/>
          <w:sz w:val="24"/>
          <w:szCs w:val="24"/>
        </w:rPr>
        <w:t>Alytaus miesto savivaldybės 2020</w:t>
      </w:r>
      <w:r w:rsidRPr="0090383C">
        <w:rPr>
          <w:rFonts w:ascii="Times New Roman" w:hAnsi="Times New Roman"/>
          <w:sz w:val="24"/>
          <w:szCs w:val="24"/>
        </w:rPr>
        <w:t>–</w:t>
      </w:r>
      <w:r w:rsidR="000E12A5" w:rsidRPr="0090383C">
        <w:rPr>
          <w:rFonts w:ascii="Times New Roman" w:hAnsi="Times New Roman"/>
          <w:sz w:val="24"/>
          <w:szCs w:val="24"/>
        </w:rPr>
        <w:t>2022</w:t>
      </w:r>
      <w:r w:rsidRPr="0090383C">
        <w:rPr>
          <w:rFonts w:ascii="Times New Roman" w:hAnsi="Times New Roman"/>
          <w:sz w:val="24"/>
          <w:szCs w:val="24"/>
        </w:rPr>
        <w:t xml:space="preserve"> m. strateginį veiklos planą sudaro dešimt programų. Kiekvienoje programoje iškelti trejų metų veiklos tikslai, jų siekimo uždaviniai, </w:t>
      </w:r>
      <w:r w:rsidR="000E12A5" w:rsidRPr="0090383C">
        <w:rPr>
          <w:rFonts w:ascii="Times New Roman" w:hAnsi="Times New Roman"/>
          <w:sz w:val="24"/>
          <w:szCs w:val="24"/>
        </w:rPr>
        <w:t>numatytos</w:t>
      </w:r>
      <w:r w:rsidRPr="0090383C">
        <w:rPr>
          <w:rFonts w:ascii="Times New Roman" w:hAnsi="Times New Roman"/>
          <w:sz w:val="24"/>
          <w:szCs w:val="24"/>
        </w:rPr>
        <w:t xml:space="preserve"> priemonės ir konkretizuoti jų pasiekimo rodikliai. </w:t>
      </w:r>
    </w:p>
    <w:p w:rsidR="00A81C80" w:rsidRPr="0090383C" w:rsidRDefault="00A81C80" w:rsidP="00A81C80">
      <w:pPr>
        <w:ind w:firstLine="1298"/>
        <w:jc w:val="both"/>
        <w:rPr>
          <w:rFonts w:ascii="Times New Roman" w:eastAsia="Times New Roman" w:hAnsi="Times New Roman"/>
          <w:sz w:val="24"/>
          <w:szCs w:val="24"/>
        </w:rPr>
      </w:pPr>
    </w:p>
    <w:p w:rsidR="00A81C80" w:rsidRPr="0090383C" w:rsidRDefault="00A81C80" w:rsidP="00A81C80">
      <w:pPr>
        <w:jc w:val="center"/>
        <w:rPr>
          <w:rFonts w:ascii="Times New Roman" w:eastAsia="Times New Roman" w:hAnsi="Times New Roman"/>
          <w:b/>
          <w:sz w:val="24"/>
          <w:szCs w:val="24"/>
        </w:rPr>
      </w:pPr>
      <w:r w:rsidRPr="0090383C">
        <w:rPr>
          <w:rFonts w:ascii="Times New Roman" w:eastAsia="Times New Roman" w:hAnsi="Times New Roman"/>
          <w:b/>
          <w:sz w:val="24"/>
          <w:szCs w:val="24"/>
        </w:rPr>
        <w:t>ALYTAUS MIESTO VYSTYMOSI POKYČIAI</w:t>
      </w:r>
    </w:p>
    <w:p w:rsidR="000D713F" w:rsidRPr="0090383C" w:rsidRDefault="000D713F" w:rsidP="00A81C80">
      <w:pPr>
        <w:jc w:val="center"/>
        <w:rPr>
          <w:rFonts w:ascii="Times New Roman" w:eastAsia="Times New Roman" w:hAnsi="Times New Roman"/>
          <w:b/>
          <w:sz w:val="24"/>
          <w:szCs w:val="24"/>
        </w:rPr>
      </w:pPr>
    </w:p>
    <w:p w:rsidR="00C504E6" w:rsidRPr="0090383C" w:rsidRDefault="00C504E6" w:rsidP="000D713F">
      <w:pPr>
        <w:autoSpaceDE w:val="0"/>
        <w:autoSpaceDN w:val="0"/>
        <w:adjustRightInd w:val="0"/>
        <w:jc w:val="both"/>
        <w:rPr>
          <w:rFonts w:ascii="Times New Roman" w:eastAsiaTheme="minorHAnsi" w:hAnsi="Times New Roman"/>
          <w:sz w:val="24"/>
          <w:szCs w:val="24"/>
        </w:rPr>
      </w:pPr>
      <w:r w:rsidRPr="0090383C">
        <w:rPr>
          <w:rFonts w:ascii="Times New Roman" w:eastAsiaTheme="minorHAnsi" w:hAnsi="Times New Roman"/>
          <w:sz w:val="24"/>
          <w:szCs w:val="24"/>
        </w:rPr>
        <w:tab/>
        <w:t>Lietuvos laisvosios rinkos instituto kasmet atliekamame savivaldybių indekso tyrime</w:t>
      </w:r>
    </w:p>
    <w:p w:rsidR="00C504E6" w:rsidRPr="0090383C" w:rsidRDefault="00C504E6" w:rsidP="000D713F">
      <w:pPr>
        <w:autoSpaceDE w:val="0"/>
        <w:autoSpaceDN w:val="0"/>
        <w:adjustRightInd w:val="0"/>
        <w:jc w:val="both"/>
        <w:rPr>
          <w:rFonts w:ascii="Times New Roman" w:eastAsiaTheme="minorHAnsi" w:hAnsi="Times New Roman"/>
          <w:sz w:val="24"/>
          <w:szCs w:val="24"/>
        </w:rPr>
      </w:pPr>
      <w:r w:rsidRPr="0090383C">
        <w:rPr>
          <w:rFonts w:ascii="Times New Roman" w:eastAsiaTheme="minorHAnsi" w:hAnsi="Times New Roman"/>
          <w:sz w:val="24"/>
          <w:szCs w:val="24"/>
        </w:rPr>
        <w:t xml:space="preserve">analizuojama, kiek ir kaip visose 60 savivaldybių yra užtikrinama žmogaus ekonominė laisvė. </w:t>
      </w:r>
      <w:r w:rsidR="00C4097A" w:rsidRPr="0090383C">
        <w:rPr>
          <w:rFonts w:ascii="Times New Roman" w:eastAsiaTheme="minorHAnsi" w:hAnsi="Times New Roman"/>
          <w:sz w:val="24"/>
          <w:szCs w:val="24"/>
        </w:rPr>
        <w:t>2018</w:t>
      </w:r>
    </w:p>
    <w:p w:rsidR="00A81C80" w:rsidRPr="0090383C" w:rsidRDefault="00C504E6" w:rsidP="00E84591">
      <w:pPr>
        <w:jc w:val="both"/>
        <w:rPr>
          <w:rFonts w:ascii="Times New Roman" w:eastAsiaTheme="minorHAnsi" w:hAnsi="Times New Roman"/>
          <w:sz w:val="24"/>
          <w:szCs w:val="24"/>
        </w:rPr>
      </w:pPr>
      <w:r w:rsidRPr="0090383C">
        <w:rPr>
          <w:rFonts w:ascii="Times New Roman" w:eastAsiaTheme="minorHAnsi" w:hAnsi="Times New Roman"/>
          <w:sz w:val="24"/>
          <w:szCs w:val="24"/>
        </w:rPr>
        <w:t xml:space="preserve">m. Alytaus miesto savivaldybė </w:t>
      </w:r>
      <w:r w:rsidR="007B3A74" w:rsidRPr="0090383C">
        <w:rPr>
          <w:rFonts w:ascii="Times New Roman" w:eastAsiaTheme="minorHAnsi" w:hAnsi="Times New Roman"/>
          <w:sz w:val="24"/>
          <w:szCs w:val="24"/>
        </w:rPr>
        <w:t>pakilo iš šeštos vietos į penktą</w:t>
      </w:r>
      <w:r w:rsidRPr="0090383C">
        <w:rPr>
          <w:rFonts w:ascii="Times New Roman" w:eastAsiaTheme="minorHAnsi" w:hAnsi="Times New Roman"/>
          <w:sz w:val="24"/>
          <w:szCs w:val="24"/>
        </w:rPr>
        <w:t xml:space="preserve"> </w:t>
      </w:r>
      <w:r w:rsidR="005672B0" w:rsidRPr="0090383C">
        <w:rPr>
          <w:rFonts w:ascii="Times New Roman" w:eastAsiaTheme="minorHAnsi" w:hAnsi="Times New Roman"/>
          <w:sz w:val="24"/>
          <w:szCs w:val="24"/>
        </w:rPr>
        <w:t xml:space="preserve">tarp </w:t>
      </w:r>
      <w:r w:rsidR="007B3A74" w:rsidRPr="0090383C">
        <w:rPr>
          <w:rFonts w:ascii="Times New Roman" w:eastAsiaTheme="minorHAnsi" w:hAnsi="Times New Roman"/>
          <w:sz w:val="24"/>
          <w:szCs w:val="24"/>
        </w:rPr>
        <w:t>šešių didžiųjų savivaldybių, aplenkdama Panevėžį.</w:t>
      </w:r>
      <w:r w:rsidRPr="0090383C">
        <w:t xml:space="preserve"> </w:t>
      </w:r>
      <w:r w:rsidR="000D713F" w:rsidRPr="0090383C">
        <w:rPr>
          <w:rFonts w:ascii="Times New Roman" w:eastAsiaTheme="minorHAnsi" w:hAnsi="Times New Roman"/>
          <w:sz w:val="24"/>
          <w:szCs w:val="24"/>
        </w:rPr>
        <w:t xml:space="preserve">Geriausiai įvertintos </w:t>
      </w:r>
      <w:r w:rsidR="00BB6F42" w:rsidRPr="0090383C">
        <w:rPr>
          <w:rFonts w:ascii="Times New Roman" w:eastAsiaTheme="minorHAnsi" w:hAnsi="Times New Roman"/>
          <w:sz w:val="24"/>
          <w:szCs w:val="24"/>
        </w:rPr>
        <w:t xml:space="preserve">transporto, komunalinių paslaugų </w:t>
      </w:r>
      <w:r w:rsidR="000D713F" w:rsidRPr="0090383C">
        <w:rPr>
          <w:rFonts w:ascii="Times New Roman" w:eastAsiaTheme="minorHAnsi" w:hAnsi="Times New Roman"/>
          <w:sz w:val="24"/>
          <w:szCs w:val="24"/>
        </w:rPr>
        <w:t>sritys</w:t>
      </w:r>
      <w:r w:rsidR="00BB6F42" w:rsidRPr="0090383C">
        <w:rPr>
          <w:rFonts w:ascii="Times New Roman" w:eastAsiaTheme="minorHAnsi" w:hAnsi="Times New Roman"/>
          <w:sz w:val="24"/>
          <w:szCs w:val="24"/>
        </w:rPr>
        <w:t xml:space="preserve">. </w:t>
      </w:r>
      <w:r w:rsidR="002F7228" w:rsidRPr="0090383C">
        <w:rPr>
          <w:rFonts w:ascii="Times New Roman" w:eastAsiaTheme="minorHAnsi" w:hAnsi="Times New Roman"/>
          <w:sz w:val="24"/>
          <w:szCs w:val="24"/>
        </w:rPr>
        <w:t xml:space="preserve">Mažiausiai taškų surinko </w:t>
      </w:r>
      <w:r w:rsidR="00BB6F42" w:rsidRPr="0090383C">
        <w:rPr>
          <w:rFonts w:ascii="Times New Roman" w:eastAsiaTheme="minorHAnsi" w:hAnsi="Times New Roman"/>
          <w:sz w:val="24"/>
          <w:szCs w:val="24"/>
        </w:rPr>
        <w:t>i</w:t>
      </w:r>
      <w:r w:rsidR="002F7228" w:rsidRPr="0090383C">
        <w:rPr>
          <w:rFonts w:ascii="Times New Roman" w:eastAsiaTheme="minorHAnsi" w:hAnsi="Times New Roman"/>
          <w:sz w:val="24"/>
          <w:szCs w:val="24"/>
        </w:rPr>
        <w:t xml:space="preserve">nvesticijos ir plėtra, </w:t>
      </w:r>
      <w:r w:rsidR="00BB6F42" w:rsidRPr="0090383C">
        <w:rPr>
          <w:rFonts w:ascii="Times New Roman" w:eastAsiaTheme="minorHAnsi" w:hAnsi="Times New Roman"/>
          <w:sz w:val="24"/>
          <w:szCs w:val="24"/>
        </w:rPr>
        <w:t>š</w:t>
      </w:r>
      <w:r w:rsidR="002F7228" w:rsidRPr="0090383C">
        <w:rPr>
          <w:rFonts w:ascii="Times New Roman" w:eastAsiaTheme="minorHAnsi" w:hAnsi="Times New Roman"/>
          <w:sz w:val="24"/>
          <w:szCs w:val="24"/>
        </w:rPr>
        <w:t>vietimas</w:t>
      </w:r>
      <w:r w:rsidR="00C4097A" w:rsidRPr="0090383C">
        <w:rPr>
          <w:rFonts w:ascii="Times New Roman" w:eastAsiaTheme="minorHAnsi" w:hAnsi="Times New Roman"/>
          <w:sz w:val="24"/>
          <w:szCs w:val="24"/>
        </w:rPr>
        <w:t>,</w:t>
      </w:r>
      <w:r w:rsidR="002F7228" w:rsidRPr="0090383C">
        <w:rPr>
          <w:rFonts w:ascii="Times New Roman" w:eastAsiaTheme="minorHAnsi" w:hAnsi="Times New Roman"/>
          <w:sz w:val="24"/>
          <w:szCs w:val="24"/>
        </w:rPr>
        <w:t xml:space="preserve"> </w:t>
      </w:r>
      <w:r w:rsidR="00BB6F42" w:rsidRPr="0090383C">
        <w:rPr>
          <w:rFonts w:ascii="Times New Roman" w:eastAsiaTheme="minorHAnsi" w:hAnsi="Times New Roman"/>
          <w:sz w:val="24"/>
          <w:szCs w:val="24"/>
        </w:rPr>
        <w:t>t</w:t>
      </w:r>
      <w:r w:rsidR="002F7228" w:rsidRPr="0090383C">
        <w:rPr>
          <w:rFonts w:ascii="Times New Roman" w:eastAsiaTheme="minorHAnsi" w:hAnsi="Times New Roman"/>
          <w:sz w:val="24"/>
          <w:szCs w:val="24"/>
        </w:rPr>
        <w:t>urto valdymas</w:t>
      </w:r>
      <w:r w:rsidR="00C4097A" w:rsidRPr="0090383C">
        <w:rPr>
          <w:rFonts w:ascii="Times New Roman" w:eastAsiaTheme="minorHAnsi" w:hAnsi="Times New Roman"/>
          <w:sz w:val="24"/>
          <w:szCs w:val="24"/>
        </w:rPr>
        <w:t>, mokesčiai</w:t>
      </w:r>
      <w:r w:rsidR="00556E9C" w:rsidRPr="0090383C">
        <w:rPr>
          <w:rFonts w:ascii="Times New Roman" w:eastAsiaTheme="minorHAnsi" w:hAnsi="Times New Roman"/>
          <w:sz w:val="24"/>
          <w:szCs w:val="24"/>
        </w:rPr>
        <w:t>,</w:t>
      </w:r>
      <w:r w:rsidR="00C4097A" w:rsidRPr="0090383C">
        <w:rPr>
          <w:rFonts w:ascii="Times New Roman" w:eastAsiaTheme="minorHAnsi" w:hAnsi="Times New Roman"/>
          <w:sz w:val="24"/>
          <w:szCs w:val="24"/>
        </w:rPr>
        <w:t xml:space="preserve"> sveikatos ir socialinės rūpybos sritys.</w:t>
      </w:r>
      <w:r w:rsidR="000D713F" w:rsidRPr="0090383C">
        <w:rPr>
          <w:rFonts w:ascii="Times New Roman" w:eastAsiaTheme="minorHAnsi" w:hAnsi="Times New Roman"/>
          <w:sz w:val="24"/>
          <w:szCs w:val="24"/>
        </w:rPr>
        <w:t xml:space="preserve"> </w:t>
      </w:r>
      <w:r w:rsidR="00F45088" w:rsidRPr="0090383C">
        <w:rPr>
          <w:rFonts w:ascii="Times New Roman" w:eastAsiaTheme="minorHAnsi" w:hAnsi="Times New Roman"/>
          <w:sz w:val="24"/>
          <w:szCs w:val="24"/>
        </w:rPr>
        <w:t>Alytaus miesto</w:t>
      </w:r>
      <w:r w:rsidR="000D713F" w:rsidRPr="0090383C">
        <w:rPr>
          <w:rFonts w:ascii="Times New Roman" w:eastAsiaTheme="minorHAnsi" w:hAnsi="Times New Roman"/>
          <w:sz w:val="24"/>
          <w:szCs w:val="24"/>
        </w:rPr>
        <w:t xml:space="preserve"> savivaldybė</w:t>
      </w:r>
      <w:r w:rsidR="00F45088" w:rsidRPr="0090383C">
        <w:rPr>
          <w:rFonts w:ascii="Times New Roman" w:eastAsiaTheme="minorHAnsi" w:hAnsi="Times New Roman"/>
          <w:sz w:val="24"/>
          <w:szCs w:val="24"/>
        </w:rPr>
        <w:t xml:space="preserve">s </w:t>
      </w:r>
      <w:r w:rsidR="00BB6F42" w:rsidRPr="0090383C">
        <w:rPr>
          <w:rFonts w:ascii="Times New Roman" w:eastAsiaTheme="minorHAnsi" w:hAnsi="Times New Roman"/>
          <w:sz w:val="24"/>
          <w:szCs w:val="24"/>
        </w:rPr>
        <w:t>t</w:t>
      </w:r>
      <w:r w:rsidR="000D713F" w:rsidRPr="0090383C">
        <w:rPr>
          <w:rFonts w:ascii="Times New Roman" w:eastAsiaTheme="minorHAnsi" w:hAnsi="Times New Roman"/>
          <w:sz w:val="24"/>
          <w:szCs w:val="24"/>
        </w:rPr>
        <w:t xml:space="preserve">ransporto sritis puikų įvertinimą pelnė dėl to, kad visus maršrutus čia </w:t>
      </w:r>
      <w:r w:rsidR="005672B0" w:rsidRPr="0090383C">
        <w:rPr>
          <w:rFonts w:ascii="Times New Roman" w:eastAsiaTheme="minorHAnsi" w:hAnsi="Times New Roman"/>
          <w:sz w:val="24"/>
          <w:szCs w:val="24"/>
        </w:rPr>
        <w:t>prižiūrėj</w:t>
      </w:r>
      <w:r w:rsidR="000D713F" w:rsidRPr="0090383C">
        <w:rPr>
          <w:rFonts w:ascii="Times New Roman" w:eastAsiaTheme="minorHAnsi" w:hAnsi="Times New Roman"/>
          <w:sz w:val="24"/>
          <w:szCs w:val="24"/>
        </w:rPr>
        <w:t xml:space="preserve">o efektyviau veikiantis privatus sektorius, buvo skelbti </w:t>
      </w:r>
      <w:r w:rsidR="005672B0" w:rsidRPr="0090383C">
        <w:rPr>
          <w:rFonts w:ascii="Times New Roman" w:eastAsiaTheme="minorHAnsi" w:hAnsi="Times New Roman"/>
          <w:sz w:val="24"/>
          <w:szCs w:val="24"/>
        </w:rPr>
        <w:t xml:space="preserve">visų maršrutų </w:t>
      </w:r>
      <w:r w:rsidR="000D713F" w:rsidRPr="0090383C">
        <w:rPr>
          <w:rFonts w:ascii="Times New Roman" w:eastAsiaTheme="minorHAnsi" w:hAnsi="Times New Roman"/>
          <w:sz w:val="24"/>
          <w:szCs w:val="24"/>
        </w:rPr>
        <w:t xml:space="preserve">viešieji konkursai. </w:t>
      </w:r>
      <w:r w:rsidR="00864891" w:rsidRPr="0090383C">
        <w:rPr>
          <w:rFonts w:ascii="Times New Roman" w:eastAsiaTheme="minorHAnsi" w:hAnsi="Times New Roman"/>
          <w:sz w:val="24"/>
          <w:szCs w:val="24"/>
        </w:rPr>
        <w:t>Teigiamai įvertintas ir p</w:t>
      </w:r>
      <w:r w:rsidR="000D713F" w:rsidRPr="0090383C">
        <w:rPr>
          <w:rFonts w:ascii="Times New Roman" w:eastAsiaTheme="minorHAnsi" w:hAnsi="Times New Roman"/>
          <w:sz w:val="24"/>
          <w:szCs w:val="24"/>
        </w:rPr>
        <w:t xml:space="preserve">rivataus sektoriaus dalyvavimas </w:t>
      </w:r>
      <w:r w:rsidR="00864891" w:rsidRPr="0090383C">
        <w:rPr>
          <w:rFonts w:ascii="Times New Roman" w:eastAsiaTheme="minorHAnsi" w:hAnsi="Times New Roman"/>
          <w:sz w:val="24"/>
          <w:szCs w:val="24"/>
        </w:rPr>
        <w:t xml:space="preserve">teikiant viešąsias </w:t>
      </w:r>
      <w:r w:rsidR="00BB6F42" w:rsidRPr="0090383C">
        <w:rPr>
          <w:rFonts w:ascii="Times New Roman" w:eastAsiaTheme="minorHAnsi" w:hAnsi="Times New Roman"/>
          <w:sz w:val="24"/>
          <w:szCs w:val="24"/>
        </w:rPr>
        <w:t>k</w:t>
      </w:r>
      <w:r w:rsidR="000D713F" w:rsidRPr="0090383C">
        <w:rPr>
          <w:rFonts w:ascii="Times New Roman" w:eastAsiaTheme="minorHAnsi" w:hAnsi="Times New Roman"/>
          <w:sz w:val="24"/>
          <w:szCs w:val="24"/>
        </w:rPr>
        <w:t>omunal</w:t>
      </w:r>
      <w:r w:rsidR="00864891" w:rsidRPr="0090383C">
        <w:rPr>
          <w:rFonts w:ascii="Times New Roman" w:eastAsiaTheme="minorHAnsi" w:hAnsi="Times New Roman"/>
          <w:sz w:val="24"/>
          <w:szCs w:val="24"/>
        </w:rPr>
        <w:t>es</w:t>
      </w:r>
      <w:r w:rsidR="000D713F" w:rsidRPr="0090383C">
        <w:rPr>
          <w:rFonts w:ascii="Times New Roman" w:eastAsiaTheme="minorHAnsi" w:hAnsi="Times New Roman"/>
          <w:sz w:val="24"/>
          <w:szCs w:val="24"/>
        </w:rPr>
        <w:t xml:space="preserve"> paslaug</w:t>
      </w:r>
      <w:r w:rsidR="00864891" w:rsidRPr="0090383C">
        <w:rPr>
          <w:rFonts w:ascii="Times New Roman" w:eastAsiaTheme="minorHAnsi" w:hAnsi="Times New Roman"/>
          <w:sz w:val="24"/>
          <w:szCs w:val="24"/>
        </w:rPr>
        <w:t>as</w:t>
      </w:r>
      <w:r w:rsidR="00A2375D" w:rsidRPr="0090383C">
        <w:rPr>
          <w:rFonts w:ascii="Times New Roman" w:eastAsiaTheme="minorHAnsi" w:hAnsi="Times New Roman"/>
          <w:sz w:val="24"/>
          <w:szCs w:val="24"/>
        </w:rPr>
        <w:t xml:space="preserve">, pavyzdžiui, </w:t>
      </w:r>
      <w:r w:rsidR="00E84591" w:rsidRPr="0090383C">
        <w:rPr>
          <w:rFonts w:ascii="Times New Roman" w:eastAsiaTheme="minorHAnsi" w:hAnsi="Times New Roman"/>
          <w:sz w:val="24"/>
          <w:szCs w:val="24"/>
        </w:rPr>
        <w:t xml:space="preserve">buitinių atliekų surinkimo, šilumos tiekimo. Centralizuotai tiekiamos šilumos kaina mažėjo. </w:t>
      </w:r>
      <w:r w:rsidR="0073411D" w:rsidRPr="0090383C">
        <w:rPr>
          <w:rFonts w:ascii="Times New Roman" w:eastAsiaTheme="minorHAnsi" w:hAnsi="Times New Roman"/>
          <w:sz w:val="24"/>
          <w:szCs w:val="24"/>
        </w:rPr>
        <w:t>Kaip ir per</w:t>
      </w:r>
      <w:r w:rsidR="0073411D" w:rsidRPr="0090383C">
        <w:rPr>
          <w:rFonts w:ascii="Times New Roman" w:eastAsiaTheme="minorHAnsi" w:hAnsi="Times New Roman"/>
          <w:sz w:val="24"/>
          <w:szCs w:val="24"/>
        </w:rPr>
        <w:softHyphen/>
        <w:t>nai Aly</w:t>
      </w:r>
      <w:r w:rsidR="0073411D" w:rsidRPr="0090383C">
        <w:rPr>
          <w:rFonts w:ascii="Times New Roman" w:eastAsiaTheme="minorHAnsi" w:hAnsi="Times New Roman"/>
          <w:sz w:val="24"/>
          <w:szCs w:val="24"/>
        </w:rPr>
        <w:softHyphen/>
        <w:t>taus mies</w:t>
      </w:r>
      <w:r w:rsidR="0073411D" w:rsidRPr="0090383C">
        <w:rPr>
          <w:rFonts w:ascii="Times New Roman" w:eastAsiaTheme="minorHAnsi" w:hAnsi="Times New Roman"/>
          <w:sz w:val="24"/>
          <w:szCs w:val="24"/>
        </w:rPr>
        <w:softHyphen/>
        <w:t>te yra vie</w:t>
      </w:r>
      <w:r w:rsidR="0073411D" w:rsidRPr="0090383C">
        <w:rPr>
          <w:rFonts w:ascii="Times New Roman" w:eastAsiaTheme="minorHAnsi" w:hAnsi="Times New Roman"/>
          <w:sz w:val="24"/>
          <w:szCs w:val="24"/>
        </w:rPr>
        <w:softHyphen/>
        <w:t>ni aukš</w:t>
      </w:r>
      <w:r w:rsidR="0073411D" w:rsidRPr="0090383C">
        <w:rPr>
          <w:rFonts w:ascii="Times New Roman" w:eastAsiaTheme="minorHAnsi" w:hAnsi="Times New Roman"/>
          <w:sz w:val="24"/>
          <w:szCs w:val="24"/>
        </w:rPr>
        <w:softHyphen/>
        <w:t>čiau</w:t>
      </w:r>
      <w:r w:rsidR="0073411D" w:rsidRPr="0090383C">
        <w:rPr>
          <w:rFonts w:ascii="Times New Roman" w:eastAsiaTheme="minorHAnsi" w:hAnsi="Times New Roman"/>
          <w:sz w:val="24"/>
          <w:szCs w:val="24"/>
        </w:rPr>
        <w:softHyphen/>
        <w:t>sių tarp di</w:t>
      </w:r>
      <w:r w:rsidR="0073411D" w:rsidRPr="0090383C">
        <w:rPr>
          <w:rFonts w:ascii="Times New Roman" w:eastAsiaTheme="minorHAnsi" w:hAnsi="Times New Roman"/>
          <w:sz w:val="24"/>
          <w:szCs w:val="24"/>
        </w:rPr>
        <w:softHyphen/>
        <w:t>džių</w:t>
      </w:r>
      <w:r w:rsidR="0073411D" w:rsidRPr="0090383C">
        <w:rPr>
          <w:rFonts w:ascii="Times New Roman" w:eastAsiaTheme="minorHAnsi" w:hAnsi="Times New Roman"/>
          <w:sz w:val="24"/>
          <w:szCs w:val="24"/>
        </w:rPr>
        <w:softHyphen/>
        <w:t>jų sa</w:t>
      </w:r>
      <w:r w:rsidR="0073411D" w:rsidRPr="0090383C">
        <w:rPr>
          <w:rFonts w:ascii="Times New Roman" w:eastAsiaTheme="minorHAnsi" w:hAnsi="Times New Roman"/>
          <w:sz w:val="24"/>
          <w:szCs w:val="24"/>
        </w:rPr>
        <w:softHyphen/>
        <w:t>vi</w:t>
      </w:r>
      <w:r w:rsidR="0073411D" w:rsidRPr="0090383C">
        <w:rPr>
          <w:rFonts w:ascii="Times New Roman" w:eastAsiaTheme="minorHAnsi" w:hAnsi="Times New Roman"/>
          <w:sz w:val="24"/>
          <w:szCs w:val="24"/>
        </w:rPr>
        <w:softHyphen/>
        <w:t>val</w:t>
      </w:r>
      <w:r w:rsidR="0073411D" w:rsidRPr="0090383C">
        <w:rPr>
          <w:rFonts w:ascii="Times New Roman" w:eastAsiaTheme="minorHAnsi" w:hAnsi="Times New Roman"/>
          <w:sz w:val="24"/>
          <w:szCs w:val="24"/>
        </w:rPr>
        <w:softHyphen/>
        <w:t>dy</w:t>
      </w:r>
      <w:r w:rsidR="0073411D" w:rsidRPr="0090383C">
        <w:rPr>
          <w:rFonts w:ascii="Times New Roman" w:eastAsiaTheme="minorHAnsi" w:hAnsi="Times New Roman"/>
          <w:sz w:val="24"/>
          <w:szCs w:val="24"/>
        </w:rPr>
        <w:softHyphen/>
        <w:t>bių pa</w:t>
      </w:r>
      <w:r w:rsidR="0073411D" w:rsidRPr="0090383C">
        <w:rPr>
          <w:rFonts w:ascii="Times New Roman" w:eastAsiaTheme="minorHAnsi" w:hAnsi="Times New Roman"/>
          <w:sz w:val="24"/>
          <w:szCs w:val="24"/>
        </w:rPr>
        <w:softHyphen/>
        <w:t>grin</w:t>
      </w:r>
      <w:r w:rsidR="0073411D" w:rsidRPr="0090383C">
        <w:rPr>
          <w:rFonts w:ascii="Times New Roman" w:eastAsiaTheme="minorHAnsi" w:hAnsi="Times New Roman"/>
          <w:sz w:val="24"/>
          <w:szCs w:val="24"/>
        </w:rPr>
        <w:softHyphen/>
        <w:t>di</w:t>
      </w:r>
      <w:r w:rsidR="0073411D" w:rsidRPr="0090383C">
        <w:rPr>
          <w:rFonts w:ascii="Times New Roman" w:eastAsiaTheme="minorHAnsi" w:hAnsi="Times New Roman"/>
          <w:sz w:val="24"/>
          <w:szCs w:val="24"/>
        </w:rPr>
        <w:softHyphen/>
        <w:t>nio ne</w:t>
      </w:r>
      <w:r w:rsidR="0073411D" w:rsidRPr="0090383C">
        <w:rPr>
          <w:rFonts w:ascii="Times New Roman" w:eastAsiaTheme="minorHAnsi" w:hAnsi="Times New Roman"/>
          <w:sz w:val="24"/>
          <w:szCs w:val="24"/>
        </w:rPr>
        <w:softHyphen/>
        <w:t>kil</w:t>
      </w:r>
      <w:r w:rsidR="0073411D" w:rsidRPr="0090383C">
        <w:rPr>
          <w:rFonts w:ascii="Times New Roman" w:eastAsiaTheme="minorHAnsi" w:hAnsi="Times New Roman"/>
          <w:sz w:val="24"/>
          <w:szCs w:val="24"/>
        </w:rPr>
        <w:softHyphen/>
        <w:t>no</w:t>
      </w:r>
      <w:r w:rsidR="0073411D" w:rsidRPr="0090383C">
        <w:rPr>
          <w:rFonts w:ascii="Times New Roman" w:eastAsiaTheme="minorHAnsi" w:hAnsi="Times New Roman"/>
          <w:sz w:val="24"/>
          <w:szCs w:val="24"/>
        </w:rPr>
        <w:softHyphen/>
        <w:t>ja</w:t>
      </w:r>
      <w:r w:rsidR="0073411D" w:rsidRPr="0090383C">
        <w:rPr>
          <w:rFonts w:ascii="Times New Roman" w:eastAsiaTheme="minorHAnsi" w:hAnsi="Times New Roman"/>
          <w:sz w:val="24"/>
          <w:szCs w:val="24"/>
        </w:rPr>
        <w:softHyphen/>
        <w:t>mo</w:t>
      </w:r>
      <w:r w:rsidR="0073411D" w:rsidRPr="0090383C">
        <w:rPr>
          <w:rFonts w:ascii="Times New Roman" w:eastAsiaTheme="minorHAnsi" w:hAnsi="Times New Roman"/>
          <w:sz w:val="24"/>
          <w:szCs w:val="24"/>
        </w:rPr>
        <w:softHyphen/>
        <w:t>jo tur</w:t>
      </w:r>
      <w:r w:rsidR="0073411D" w:rsidRPr="0090383C">
        <w:rPr>
          <w:rFonts w:ascii="Times New Roman" w:eastAsiaTheme="minorHAnsi" w:hAnsi="Times New Roman"/>
          <w:sz w:val="24"/>
          <w:szCs w:val="24"/>
        </w:rPr>
        <w:softHyphen/>
        <w:t>to, ne</w:t>
      </w:r>
      <w:r w:rsidR="0073411D" w:rsidRPr="0090383C">
        <w:rPr>
          <w:rFonts w:ascii="Times New Roman" w:eastAsiaTheme="minorHAnsi" w:hAnsi="Times New Roman"/>
          <w:sz w:val="24"/>
          <w:szCs w:val="24"/>
        </w:rPr>
        <w:softHyphen/>
        <w:t>nau</w:t>
      </w:r>
      <w:r w:rsidR="0073411D" w:rsidRPr="0090383C">
        <w:rPr>
          <w:rFonts w:ascii="Times New Roman" w:eastAsiaTheme="minorHAnsi" w:hAnsi="Times New Roman"/>
          <w:sz w:val="24"/>
          <w:szCs w:val="24"/>
        </w:rPr>
        <w:softHyphen/>
        <w:t>do</w:t>
      </w:r>
      <w:r w:rsidR="0073411D" w:rsidRPr="0090383C">
        <w:rPr>
          <w:rFonts w:ascii="Times New Roman" w:eastAsiaTheme="minorHAnsi" w:hAnsi="Times New Roman"/>
          <w:sz w:val="24"/>
          <w:szCs w:val="24"/>
        </w:rPr>
        <w:softHyphen/>
        <w:t>ja</w:t>
      </w:r>
      <w:r w:rsidR="0073411D" w:rsidRPr="0090383C">
        <w:rPr>
          <w:rFonts w:ascii="Times New Roman" w:eastAsiaTheme="minorHAnsi" w:hAnsi="Times New Roman"/>
          <w:sz w:val="24"/>
          <w:szCs w:val="24"/>
        </w:rPr>
        <w:softHyphen/>
        <w:t>mo ne</w:t>
      </w:r>
      <w:r w:rsidR="0073411D" w:rsidRPr="0090383C">
        <w:rPr>
          <w:rFonts w:ascii="Times New Roman" w:eastAsiaTheme="minorHAnsi" w:hAnsi="Times New Roman"/>
          <w:sz w:val="24"/>
          <w:szCs w:val="24"/>
        </w:rPr>
        <w:softHyphen/>
        <w:t>kil</w:t>
      </w:r>
      <w:r w:rsidR="0073411D" w:rsidRPr="0090383C">
        <w:rPr>
          <w:rFonts w:ascii="Times New Roman" w:eastAsiaTheme="minorHAnsi" w:hAnsi="Times New Roman"/>
          <w:sz w:val="24"/>
          <w:szCs w:val="24"/>
        </w:rPr>
        <w:softHyphen/>
        <w:t>no</w:t>
      </w:r>
      <w:r w:rsidR="0073411D" w:rsidRPr="0090383C">
        <w:rPr>
          <w:rFonts w:ascii="Times New Roman" w:eastAsiaTheme="minorHAnsi" w:hAnsi="Times New Roman"/>
          <w:sz w:val="24"/>
          <w:szCs w:val="24"/>
        </w:rPr>
        <w:softHyphen/>
        <w:t>ja</w:t>
      </w:r>
      <w:r w:rsidR="0073411D" w:rsidRPr="0090383C">
        <w:rPr>
          <w:rFonts w:ascii="Times New Roman" w:eastAsiaTheme="minorHAnsi" w:hAnsi="Times New Roman"/>
          <w:sz w:val="24"/>
          <w:szCs w:val="24"/>
        </w:rPr>
        <w:softHyphen/>
        <w:t>mo</w:t>
      </w:r>
      <w:r w:rsidR="0073411D" w:rsidRPr="0090383C">
        <w:rPr>
          <w:rFonts w:ascii="Times New Roman" w:eastAsiaTheme="minorHAnsi" w:hAnsi="Times New Roman"/>
          <w:sz w:val="24"/>
          <w:szCs w:val="24"/>
        </w:rPr>
        <w:softHyphen/>
        <w:t>jo tur</w:t>
      </w:r>
      <w:r w:rsidR="0073411D" w:rsidRPr="0090383C">
        <w:rPr>
          <w:rFonts w:ascii="Times New Roman" w:eastAsiaTheme="minorHAnsi" w:hAnsi="Times New Roman"/>
          <w:sz w:val="24"/>
          <w:szCs w:val="24"/>
        </w:rPr>
        <w:softHyphen/>
        <w:t>to ir ap</w:t>
      </w:r>
      <w:r w:rsidR="0073411D" w:rsidRPr="0090383C">
        <w:rPr>
          <w:rFonts w:ascii="Times New Roman" w:eastAsiaTheme="minorHAnsi" w:hAnsi="Times New Roman"/>
          <w:sz w:val="24"/>
          <w:szCs w:val="24"/>
        </w:rPr>
        <w:softHyphen/>
        <w:t>leis</w:t>
      </w:r>
      <w:r w:rsidR="0073411D" w:rsidRPr="0090383C">
        <w:rPr>
          <w:rFonts w:ascii="Times New Roman" w:eastAsiaTheme="minorHAnsi" w:hAnsi="Times New Roman"/>
          <w:sz w:val="24"/>
          <w:szCs w:val="24"/>
        </w:rPr>
        <w:softHyphen/>
        <w:t>tos že</w:t>
      </w:r>
      <w:r w:rsidR="0073411D" w:rsidRPr="0090383C">
        <w:rPr>
          <w:rFonts w:ascii="Times New Roman" w:eastAsiaTheme="minorHAnsi" w:hAnsi="Times New Roman"/>
          <w:sz w:val="24"/>
          <w:szCs w:val="24"/>
        </w:rPr>
        <w:softHyphen/>
        <w:t>mės mo</w:t>
      </w:r>
      <w:r w:rsidR="0073411D" w:rsidRPr="0090383C">
        <w:rPr>
          <w:rFonts w:ascii="Times New Roman" w:eastAsiaTheme="minorHAnsi" w:hAnsi="Times New Roman"/>
          <w:sz w:val="24"/>
          <w:szCs w:val="24"/>
        </w:rPr>
        <w:softHyphen/>
        <w:t>kes</w:t>
      </w:r>
      <w:r w:rsidR="0073411D" w:rsidRPr="0090383C">
        <w:rPr>
          <w:rFonts w:ascii="Times New Roman" w:eastAsiaTheme="minorHAnsi" w:hAnsi="Times New Roman"/>
          <w:sz w:val="24"/>
          <w:szCs w:val="24"/>
        </w:rPr>
        <w:softHyphen/>
        <w:t>čių ta</w:t>
      </w:r>
      <w:r w:rsidR="0073411D" w:rsidRPr="0090383C">
        <w:rPr>
          <w:rFonts w:ascii="Times New Roman" w:eastAsiaTheme="minorHAnsi" w:hAnsi="Times New Roman"/>
          <w:sz w:val="24"/>
          <w:szCs w:val="24"/>
        </w:rPr>
        <w:softHyphen/>
        <w:t>ri</w:t>
      </w:r>
      <w:r w:rsidR="0073411D" w:rsidRPr="0090383C">
        <w:rPr>
          <w:rFonts w:ascii="Times New Roman" w:eastAsiaTheme="minorHAnsi" w:hAnsi="Times New Roman"/>
          <w:sz w:val="24"/>
          <w:szCs w:val="24"/>
        </w:rPr>
        <w:softHyphen/>
        <w:t>fai.</w:t>
      </w:r>
      <w:r w:rsidR="000D713F" w:rsidRPr="0090383C">
        <w:rPr>
          <w:rFonts w:ascii="Times New Roman" w:eastAsiaTheme="minorHAnsi" w:hAnsi="Times New Roman"/>
          <w:sz w:val="24"/>
          <w:szCs w:val="24"/>
        </w:rPr>
        <w:t xml:space="preserve">Tiek materialinių, tiek tiesioginių užsienio investicijų </w:t>
      </w:r>
      <w:r w:rsidR="00BB6F42" w:rsidRPr="0090383C">
        <w:rPr>
          <w:rFonts w:ascii="Times New Roman" w:eastAsiaTheme="minorHAnsi" w:hAnsi="Times New Roman"/>
          <w:sz w:val="24"/>
          <w:szCs w:val="24"/>
        </w:rPr>
        <w:t>skaičiu</w:t>
      </w:r>
      <w:r w:rsidR="000D713F" w:rsidRPr="0090383C">
        <w:rPr>
          <w:rFonts w:ascii="Times New Roman" w:eastAsiaTheme="minorHAnsi" w:hAnsi="Times New Roman"/>
          <w:sz w:val="24"/>
          <w:szCs w:val="24"/>
        </w:rPr>
        <w:t xml:space="preserve">s gerokai nusileido vidutiniam. </w:t>
      </w:r>
    </w:p>
    <w:p w:rsidR="00A2375D" w:rsidRPr="0090383C" w:rsidRDefault="000D713F" w:rsidP="007B74E3">
      <w:pPr>
        <w:jc w:val="both"/>
        <w:rPr>
          <w:rFonts w:ascii="Times New Roman" w:eastAsiaTheme="minorHAnsi" w:hAnsi="Times New Roman"/>
          <w:sz w:val="24"/>
          <w:szCs w:val="24"/>
        </w:rPr>
      </w:pPr>
      <w:r w:rsidRPr="0090383C">
        <w:rPr>
          <w:rFonts w:ascii="Times New Roman" w:eastAsiaTheme="minorHAnsi" w:hAnsi="Times New Roman"/>
          <w:sz w:val="24"/>
          <w:szCs w:val="24"/>
        </w:rPr>
        <w:tab/>
      </w:r>
      <w:r w:rsidR="0073411D" w:rsidRPr="0090383C">
        <w:rPr>
          <w:rFonts w:ascii="Times New Roman" w:eastAsiaTheme="minorHAnsi" w:hAnsi="Times New Roman"/>
          <w:sz w:val="24"/>
          <w:szCs w:val="24"/>
        </w:rPr>
        <w:t>Van</w:t>
      </w:r>
      <w:r w:rsidR="0073411D" w:rsidRPr="0090383C">
        <w:rPr>
          <w:rFonts w:ascii="Times New Roman" w:eastAsiaTheme="minorHAnsi" w:hAnsi="Times New Roman"/>
          <w:sz w:val="24"/>
          <w:szCs w:val="24"/>
        </w:rPr>
        <w:softHyphen/>
        <w:t>gus in</w:t>
      </w:r>
      <w:r w:rsidR="0073411D" w:rsidRPr="0090383C">
        <w:rPr>
          <w:rFonts w:ascii="Times New Roman" w:eastAsiaTheme="minorHAnsi" w:hAnsi="Times New Roman"/>
          <w:sz w:val="24"/>
          <w:szCs w:val="24"/>
        </w:rPr>
        <w:softHyphen/>
        <w:t>ves</w:t>
      </w:r>
      <w:r w:rsidR="0073411D" w:rsidRPr="0090383C">
        <w:rPr>
          <w:rFonts w:ascii="Times New Roman" w:eastAsiaTheme="minorHAnsi" w:hAnsi="Times New Roman"/>
          <w:sz w:val="24"/>
          <w:szCs w:val="24"/>
        </w:rPr>
        <w:softHyphen/>
        <w:t>ta</w:t>
      </w:r>
      <w:r w:rsidR="0073411D" w:rsidRPr="0090383C">
        <w:rPr>
          <w:rFonts w:ascii="Times New Roman" w:eastAsiaTheme="minorHAnsi" w:hAnsi="Times New Roman"/>
          <w:sz w:val="24"/>
          <w:szCs w:val="24"/>
        </w:rPr>
        <w:softHyphen/>
        <w:t>vi</w:t>
      </w:r>
      <w:r w:rsidR="0073411D" w:rsidRPr="0090383C">
        <w:rPr>
          <w:rFonts w:ascii="Times New Roman" w:eastAsiaTheme="minorHAnsi" w:hAnsi="Times New Roman"/>
          <w:sz w:val="24"/>
          <w:szCs w:val="24"/>
        </w:rPr>
        <w:softHyphen/>
        <w:t>mas su</w:t>
      </w:r>
      <w:r w:rsidR="0073411D" w:rsidRPr="0090383C">
        <w:rPr>
          <w:rFonts w:ascii="Times New Roman" w:eastAsiaTheme="minorHAnsi" w:hAnsi="Times New Roman"/>
          <w:sz w:val="24"/>
          <w:szCs w:val="24"/>
        </w:rPr>
        <w:softHyphen/>
        <w:t>si</w:t>
      </w:r>
      <w:r w:rsidR="0073411D" w:rsidRPr="0090383C">
        <w:rPr>
          <w:rFonts w:ascii="Times New Roman" w:eastAsiaTheme="minorHAnsi" w:hAnsi="Times New Roman"/>
          <w:sz w:val="24"/>
          <w:szCs w:val="24"/>
        </w:rPr>
        <w:softHyphen/>
        <w:t>jęs su van</w:t>
      </w:r>
      <w:r w:rsidR="0073411D" w:rsidRPr="0090383C">
        <w:rPr>
          <w:rFonts w:ascii="Times New Roman" w:eastAsiaTheme="minorHAnsi" w:hAnsi="Times New Roman"/>
          <w:sz w:val="24"/>
          <w:szCs w:val="24"/>
        </w:rPr>
        <w:softHyphen/>
        <w:t>ges</w:t>
      </w:r>
      <w:r w:rsidR="0073411D" w:rsidRPr="0090383C">
        <w:rPr>
          <w:rFonts w:ascii="Times New Roman" w:eastAsiaTheme="minorHAnsi" w:hAnsi="Times New Roman"/>
          <w:sz w:val="24"/>
          <w:szCs w:val="24"/>
        </w:rPr>
        <w:softHyphen/>
        <w:t>niu eko</w:t>
      </w:r>
      <w:r w:rsidR="0073411D" w:rsidRPr="0090383C">
        <w:rPr>
          <w:rFonts w:ascii="Times New Roman" w:eastAsiaTheme="minorHAnsi" w:hAnsi="Times New Roman"/>
          <w:sz w:val="24"/>
          <w:szCs w:val="24"/>
        </w:rPr>
        <w:softHyphen/>
        <w:t>no</w:t>
      </w:r>
      <w:r w:rsidR="0073411D" w:rsidRPr="0090383C">
        <w:rPr>
          <w:rFonts w:ascii="Times New Roman" w:eastAsiaTheme="minorHAnsi" w:hAnsi="Times New Roman"/>
          <w:sz w:val="24"/>
          <w:szCs w:val="24"/>
        </w:rPr>
        <w:softHyphen/>
        <w:t>mi</w:t>
      </w:r>
      <w:r w:rsidR="0073411D" w:rsidRPr="0090383C">
        <w:rPr>
          <w:rFonts w:ascii="Times New Roman" w:eastAsiaTheme="minorHAnsi" w:hAnsi="Times New Roman"/>
          <w:sz w:val="24"/>
          <w:szCs w:val="24"/>
        </w:rPr>
        <w:softHyphen/>
        <w:t>niu au</w:t>
      </w:r>
      <w:r w:rsidR="0073411D" w:rsidRPr="0090383C">
        <w:rPr>
          <w:rFonts w:ascii="Times New Roman" w:eastAsiaTheme="minorHAnsi" w:hAnsi="Times New Roman"/>
          <w:sz w:val="24"/>
          <w:szCs w:val="24"/>
        </w:rPr>
        <w:softHyphen/>
        <w:t>gi</w:t>
      </w:r>
      <w:r w:rsidR="0073411D" w:rsidRPr="0090383C">
        <w:rPr>
          <w:rFonts w:ascii="Times New Roman" w:eastAsiaTheme="minorHAnsi" w:hAnsi="Times New Roman"/>
          <w:sz w:val="24"/>
          <w:szCs w:val="24"/>
        </w:rPr>
        <w:softHyphen/>
        <w:t>mu. Tūks</w:t>
      </w:r>
      <w:r w:rsidR="0073411D" w:rsidRPr="0090383C">
        <w:rPr>
          <w:rFonts w:ascii="Times New Roman" w:eastAsiaTheme="minorHAnsi" w:hAnsi="Times New Roman"/>
          <w:sz w:val="24"/>
          <w:szCs w:val="24"/>
        </w:rPr>
        <w:softHyphen/>
        <w:t>tan</w:t>
      </w:r>
      <w:r w:rsidR="0073411D" w:rsidRPr="0090383C">
        <w:rPr>
          <w:rFonts w:ascii="Times New Roman" w:eastAsiaTheme="minorHAnsi" w:hAnsi="Times New Roman"/>
          <w:sz w:val="24"/>
          <w:szCs w:val="24"/>
        </w:rPr>
        <w:softHyphen/>
        <w:t>čiui aly</w:t>
      </w:r>
      <w:r w:rsidR="0073411D" w:rsidRPr="0090383C">
        <w:rPr>
          <w:rFonts w:ascii="Times New Roman" w:eastAsiaTheme="minorHAnsi" w:hAnsi="Times New Roman"/>
          <w:sz w:val="24"/>
          <w:szCs w:val="24"/>
        </w:rPr>
        <w:softHyphen/>
        <w:t>tiš</w:t>
      </w:r>
      <w:r w:rsidR="0073411D" w:rsidRPr="0090383C">
        <w:rPr>
          <w:rFonts w:ascii="Times New Roman" w:eastAsiaTheme="minorHAnsi" w:hAnsi="Times New Roman"/>
          <w:sz w:val="24"/>
          <w:szCs w:val="24"/>
        </w:rPr>
        <w:softHyphen/>
        <w:t>kių te</w:t>
      </w:r>
      <w:r w:rsidR="0073411D" w:rsidRPr="0090383C">
        <w:rPr>
          <w:rFonts w:ascii="Times New Roman" w:eastAsiaTheme="minorHAnsi" w:hAnsi="Times New Roman"/>
          <w:sz w:val="24"/>
          <w:szCs w:val="24"/>
        </w:rPr>
        <w:softHyphen/>
        <w:t>ko 35 vei</w:t>
      </w:r>
      <w:r w:rsidR="0073411D" w:rsidRPr="0090383C">
        <w:rPr>
          <w:rFonts w:ascii="Times New Roman" w:eastAsiaTheme="minorHAnsi" w:hAnsi="Times New Roman"/>
          <w:sz w:val="24"/>
          <w:szCs w:val="24"/>
        </w:rPr>
        <w:softHyphen/>
        <w:t>kian</w:t>
      </w:r>
      <w:r w:rsidR="0073411D" w:rsidRPr="0090383C">
        <w:rPr>
          <w:rFonts w:ascii="Times New Roman" w:eastAsiaTheme="minorHAnsi" w:hAnsi="Times New Roman"/>
          <w:sz w:val="24"/>
          <w:szCs w:val="24"/>
        </w:rPr>
        <w:softHyphen/>
        <w:t>tys sub</w:t>
      </w:r>
      <w:r w:rsidR="0073411D" w:rsidRPr="0090383C">
        <w:rPr>
          <w:rFonts w:ascii="Times New Roman" w:eastAsiaTheme="minorHAnsi" w:hAnsi="Times New Roman"/>
          <w:sz w:val="24"/>
          <w:szCs w:val="24"/>
        </w:rPr>
        <w:softHyphen/>
        <w:t>jek</w:t>
      </w:r>
      <w:r w:rsidR="0073411D" w:rsidRPr="0090383C">
        <w:rPr>
          <w:rFonts w:ascii="Times New Roman" w:eastAsiaTheme="minorHAnsi" w:hAnsi="Times New Roman"/>
          <w:sz w:val="24"/>
          <w:szCs w:val="24"/>
        </w:rPr>
        <w:softHyphen/>
        <w:t>tai, 3 iš</w:t>
      </w:r>
      <w:r w:rsidR="0073411D" w:rsidRPr="0090383C">
        <w:rPr>
          <w:rFonts w:ascii="Times New Roman" w:eastAsiaTheme="minorHAnsi" w:hAnsi="Times New Roman"/>
          <w:sz w:val="24"/>
          <w:szCs w:val="24"/>
        </w:rPr>
        <w:softHyphen/>
        <w:t>duo</w:t>
      </w:r>
      <w:r w:rsidR="0073411D" w:rsidRPr="0090383C">
        <w:rPr>
          <w:rFonts w:ascii="Times New Roman" w:eastAsiaTheme="minorHAnsi" w:hAnsi="Times New Roman"/>
          <w:sz w:val="24"/>
          <w:szCs w:val="24"/>
        </w:rPr>
        <w:softHyphen/>
        <w:t>ti sta</w:t>
      </w:r>
      <w:r w:rsidR="0073411D" w:rsidRPr="0090383C">
        <w:rPr>
          <w:rFonts w:ascii="Times New Roman" w:eastAsiaTheme="minorHAnsi" w:hAnsi="Times New Roman"/>
          <w:sz w:val="24"/>
          <w:szCs w:val="24"/>
        </w:rPr>
        <w:softHyphen/>
        <w:t>ty</w:t>
      </w:r>
      <w:r w:rsidR="0073411D" w:rsidRPr="0090383C">
        <w:rPr>
          <w:rFonts w:ascii="Times New Roman" w:eastAsiaTheme="minorHAnsi" w:hAnsi="Times New Roman"/>
          <w:sz w:val="24"/>
          <w:szCs w:val="24"/>
        </w:rPr>
        <w:softHyphen/>
        <w:t>bos lei</w:t>
      </w:r>
      <w:r w:rsidR="0073411D" w:rsidRPr="0090383C">
        <w:rPr>
          <w:rFonts w:ascii="Times New Roman" w:eastAsiaTheme="minorHAnsi" w:hAnsi="Times New Roman"/>
          <w:sz w:val="24"/>
          <w:szCs w:val="24"/>
        </w:rPr>
        <w:softHyphen/>
        <w:t>di</w:t>
      </w:r>
      <w:r w:rsidR="0073411D" w:rsidRPr="0090383C">
        <w:rPr>
          <w:rFonts w:ascii="Times New Roman" w:eastAsiaTheme="minorHAnsi" w:hAnsi="Times New Roman"/>
          <w:sz w:val="24"/>
          <w:szCs w:val="24"/>
        </w:rPr>
        <w:softHyphen/>
        <w:t>mai – ma</w:t>
      </w:r>
      <w:r w:rsidR="0073411D" w:rsidRPr="0090383C">
        <w:rPr>
          <w:rFonts w:ascii="Times New Roman" w:eastAsiaTheme="minorHAnsi" w:hAnsi="Times New Roman"/>
          <w:sz w:val="24"/>
          <w:szCs w:val="24"/>
        </w:rPr>
        <w:softHyphen/>
        <w:t>žiau</w:t>
      </w:r>
      <w:r w:rsidR="0073411D" w:rsidRPr="0090383C">
        <w:rPr>
          <w:rFonts w:ascii="Times New Roman" w:eastAsiaTheme="minorHAnsi" w:hAnsi="Times New Roman"/>
          <w:sz w:val="24"/>
          <w:szCs w:val="24"/>
        </w:rPr>
        <w:softHyphen/>
        <w:t>siai tarp di</w:t>
      </w:r>
      <w:r w:rsidR="0073411D" w:rsidRPr="0090383C">
        <w:rPr>
          <w:rFonts w:ascii="Times New Roman" w:eastAsiaTheme="minorHAnsi" w:hAnsi="Times New Roman"/>
          <w:sz w:val="24"/>
          <w:szCs w:val="24"/>
        </w:rPr>
        <w:softHyphen/>
        <w:t>džių</w:t>
      </w:r>
      <w:r w:rsidR="0073411D" w:rsidRPr="0090383C">
        <w:rPr>
          <w:rFonts w:ascii="Times New Roman" w:eastAsiaTheme="minorHAnsi" w:hAnsi="Times New Roman"/>
          <w:sz w:val="24"/>
          <w:szCs w:val="24"/>
        </w:rPr>
        <w:softHyphen/>
        <w:t>jų mies</w:t>
      </w:r>
      <w:r w:rsidR="0073411D" w:rsidRPr="0090383C">
        <w:rPr>
          <w:rFonts w:ascii="Times New Roman" w:eastAsiaTheme="minorHAnsi" w:hAnsi="Times New Roman"/>
          <w:sz w:val="24"/>
          <w:szCs w:val="24"/>
        </w:rPr>
        <w:softHyphen/>
        <w:t>tų. Aly</w:t>
      </w:r>
      <w:r w:rsidR="0073411D" w:rsidRPr="0090383C">
        <w:rPr>
          <w:rFonts w:ascii="Times New Roman" w:eastAsiaTheme="minorHAnsi" w:hAnsi="Times New Roman"/>
          <w:sz w:val="24"/>
          <w:szCs w:val="24"/>
        </w:rPr>
        <w:softHyphen/>
        <w:t>tu</w:t>
      </w:r>
      <w:r w:rsidR="0073411D" w:rsidRPr="0090383C">
        <w:rPr>
          <w:rFonts w:ascii="Times New Roman" w:eastAsiaTheme="minorHAnsi" w:hAnsi="Times New Roman"/>
          <w:sz w:val="24"/>
          <w:szCs w:val="24"/>
        </w:rPr>
        <w:softHyphen/>
        <w:t>je gy</w:t>
      </w:r>
      <w:r w:rsidR="0073411D" w:rsidRPr="0090383C">
        <w:rPr>
          <w:rFonts w:ascii="Times New Roman" w:eastAsiaTheme="minorHAnsi" w:hAnsi="Times New Roman"/>
          <w:sz w:val="24"/>
          <w:szCs w:val="24"/>
        </w:rPr>
        <w:softHyphen/>
        <w:t>ven</w:t>
      </w:r>
      <w:r w:rsidR="0073411D" w:rsidRPr="0090383C">
        <w:rPr>
          <w:rFonts w:ascii="Times New Roman" w:eastAsiaTheme="minorHAnsi" w:hAnsi="Times New Roman"/>
          <w:sz w:val="24"/>
          <w:szCs w:val="24"/>
        </w:rPr>
        <w:softHyphen/>
        <w:t>to</w:t>
      </w:r>
      <w:r w:rsidR="0073411D" w:rsidRPr="0090383C">
        <w:rPr>
          <w:rFonts w:ascii="Times New Roman" w:eastAsiaTheme="minorHAnsi" w:hAnsi="Times New Roman"/>
          <w:sz w:val="24"/>
          <w:szCs w:val="24"/>
        </w:rPr>
        <w:softHyphen/>
        <w:t>jų ma</w:t>
      </w:r>
      <w:r w:rsidR="0073411D" w:rsidRPr="0090383C">
        <w:rPr>
          <w:rFonts w:ascii="Times New Roman" w:eastAsiaTheme="minorHAnsi" w:hAnsi="Times New Roman"/>
          <w:sz w:val="24"/>
          <w:szCs w:val="24"/>
        </w:rPr>
        <w:softHyphen/>
        <w:t>žė</w:t>
      </w:r>
      <w:r w:rsidR="0073411D" w:rsidRPr="0090383C">
        <w:rPr>
          <w:rFonts w:ascii="Times New Roman" w:eastAsiaTheme="minorHAnsi" w:hAnsi="Times New Roman"/>
          <w:sz w:val="24"/>
          <w:szCs w:val="24"/>
        </w:rPr>
        <w:softHyphen/>
        <w:t>ja. Per</w:t>
      </w:r>
      <w:r w:rsidR="0073411D" w:rsidRPr="0090383C">
        <w:rPr>
          <w:rFonts w:ascii="Times New Roman" w:eastAsiaTheme="minorHAnsi" w:hAnsi="Times New Roman"/>
          <w:sz w:val="24"/>
          <w:szCs w:val="24"/>
        </w:rPr>
        <w:softHyphen/>
        <w:t>nai Aly</w:t>
      </w:r>
      <w:r w:rsidR="0073411D" w:rsidRPr="0090383C">
        <w:rPr>
          <w:rFonts w:ascii="Times New Roman" w:eastAsiaTheme="minorHAnsi" w:hAnsi="Times New Roman"/>
          <w:sz w:val="24"/>
          <w:szCs w:val="24"/>
        </w:rPr>
        <w:softHyphen/>
        <w:t>tų pa</w:t>
      </w:r>
      <w:r w:rsidR="0073411D" w:rsidRPr="0090383C">
        <w:rPr>
          <w:rFonts w:ascii="Times New Roman" w:eastAsiaTheme="minorHAnsi" w:hAnsi="Times New Roman"/>
          <w:sz w:val="24"/>
          <w:szCs w:val="24"/>
        </w:rPr>
        <w:softHyphen/>
        <w:t>li</w:t>
      </w:r>
      <w:r w:rsidR="0073411D" w:rsidRPr="0090383C">
        <w:rPr>
          <w:rFonts w:ascii="Times New Roman" w:eastAsiaTheme="minorHAnsi" w:hAnsi="Times New Roman"/>
          <w:sz w:val="24"/>
          <w:szCs w:val="24"/>
        </w:rPr>
        <w:softHyphen/>
        <w:t>ko 1,7 proc. dau</w:t>
      </w:r>
      <w:r w:rsidR="0073411D" w:rsidRPr="0090383C">
        <w:rPr>
          <w:rFonts w:ascii="Times New Roman" w:eastAsiaTheme="minorHAnsi" w:hAnsi="Times New Roman"/>
          <w:sz w:val="24"/>
          <w:szCs w:val="24"/>
        </w:rPr>
        <w:softHyphen/>
        <w:t>giau gy</w:t>
      </w:r>
      <w:r w:rsidR="0073411D" w:rsidRPr="0090383C">
        <w:rPr>
          <w:rFonts w:ascii="Times New Roman" w:eastAsiaTheme="minorHAnsi" w:hAnsi="Times New Roman"/>
          <w:sz w:val="24"/>
          <w:szCs w:val="24"/>
        </w:rPr>
        <w:softHyphen/>
        <w:t>ven</w:t>
      </w:r>
      <w:r w:rsidR="0073411D" w:rsidRPr="0090383C">
        <w:rPr>
          <w:rFonts w:ascii="Times New Roman" w:eastAsiaTheme="minorHAnsi" w:hAnsi="Times New Roman"/>
          <w:sz w:val="24"/>
          <w:szCs w:val="24"/>
        </w:rPr>
        <w:softHyphen/>
        <w:t>to</w:t>
      </w:r>
      <w:r w:rsidR="0073411D" w:rsidRPr="0090383C">
        <w:rPr>
          <w:rFonts w:ascii="Times New Roman" w:eastAsiaTheme="minorHAnsi" w:hAnsi="Times New Roman"/>
          <w:sz w:val="24"/>
          <w:szCs w:val="24"/>
        </w:rPr>
        <w:softHyphen/>
        <w:t>jų nei į jį at</w:t>
      </w:r>
      <w:r w:rsidR="0073411D" w:rsidRPr="0090383C">
        <w:rPr>
          <w:rFonts w:ascii="Times New Roman" w:eastAsiaTheme="minorHAnsi" w:hAnsi="Times New Roman"/>
          <w:sz w:val="24"/>
          <w:szCs w:val="24"/>
        </w:rPr>
        <w:softHyphen/>
        <w:t>vy</w:t>
      </w:r>
      <w:r w:rsidR="0073411D" w:rsidRPr="0090383C">
        <w:rPr>
          <w:rFonts w:ascii="Times New Roman" w:eastAsiaTheme="minorHAnsi" w:hAnsi="Times New Roman"/>
          <w:sz w:val="24"/>
          <w:szCs w:val="24"/>
        </w:rPr>
        <w:softHyphen/>
        <w:t>ko, tad gry</w:t>
      </w:r>
      <w:r w:rsidR="0073411D" w:rsidRPr="0090383C">
        <w:rPr>
          <w:rFonts w:ascii="Times New Roman" w:eastAsiaTheme="minorHAnsi" w:hAnsi="Times New Roman"/>
          <w:sz w:val="24"/>
          <w:szCs w:val="24"/>
        </w:rPr>
        <w:softHyphen/>
        <w:t>no</w:t>
      </w:r>
      <w:r w:rsidR="0073411D" w:rsidRPr="0090383C">
        <w:rPr>
          <w:rFonts w:ascii="Times New Roman" w:eastAsiaTheme="minorHAnsi" w:hAnsi="Times New Roman"/>
          <w:sz w:val="24"/>
          <w:szCs w:val="24"/>
        </w:rPr>
        <w:softHyphen/>
        <w:t>ji emig</w:t>
      </w:r>
      <w:r w:rsidR="0073411D" w:rsidRPr="0090383C">
        <w:rPr>
          <w:rFonts w:ascii="Times New Roman" w:eastAsiaTheme="minorHAnsi" w:hAnsi="Times New Roman"/>
          <w:sz w:val="24"/>
          <w:szCs w:val="24"/>
        </w:rPr>
        <w:softHyphen/>
        <w:t>ra</w:t>
      </w:r>
      <w:r w:rsidR="0073411D" w:rsidRPr="0090383C">
        <w:rPr>
          <w:rFonts w:ascii="Times New Roman" w:eastAsiaTheme="minorHAnsi" w:hAnsi="Times New Roman"/>
          <w:sz w:val="24"/>
          <w:szCs w:val="24"/>
        </w:rPr>
        <w:softHyphen/>
        <w:t>ci</w:t>
      </w:r>
      <w:r w:rsidR="0073411D" w:rsidRPr="0090383C">
        <w:rPr>
          <w:rFonts w:ascii="Times New Roman" w:eastAsiaTheme="minorHAnsi" w:hAnsi="Times New Roman"/>
          <w:sz w:val="24"/>
          <w:szCs w:val="24"/>
        </w:rPr>
        <w:softHyphen/>
        <w:t>ja nuo vi</w:t>
      </w:r>
      <w:r w:rsidR="0073411D" w:rsidRPr="0090383C">
        <w:rPr>
          <w:rFonts w:ascii="Times New Roman" w:eastAsiaTheme="minorHAnsi" w:hAnsi="Times New Roman"/>
          <w:sz w:val="24"/>
          <w:szCs w:val="24"/>
        </w:rPr>
        <w:softHyphen/>
        <w:t>sų sa</w:t>
      </w:r>
      <w:r w:rsidR="0073411D" w:rsidRPr="0090383C">
        <w:rPr>
          <w:rFonts w:ascii="Times New Roman" w:eastAsiaTheme="minorHAnsi" w:hAnsi="Times New Roman"/>
          <w:sz w:val="24"/>
          <w:szCs w:val="24"/>
        </w:rPr>
        <w:softHyphen/>
        <w:t>vi</w:t>
      </w:r>
      <w:r w:rsidR="0073411D" w:rsidRPr="0090383C">
        <w:rPr>
          <w:rFonts w:ascii="Times New Roman" w:eastAsiaTheme="minorHAnsi" w:hAnsi="Times New Roman"/>
          <w:sz w:val="24"/>
          <w:szCs w:val="24"/>
        </w:rPr>
        <w:softHyphen/>
        <w:t>val</w:t>
      </w:r>
      <w:r w:rsidR="0073411D" w:rsidRPr="0090383C">
        <w:rPr>
          <w:rFonts w:ascii="Times New Roman" w:eastAsiaTheme="minorHAnsi" w:hAnsi="Times New Roman"/>
          <w:sz w:val="24"/>
          <w:szCs w:val="24"/>
        </w:rPr>
        <w:softHyphen/>
        <w:t>dy</w:t>
      </w:r>
      <w:r w:rsidR="0073411D" w:rsidRPr="0090383C">
        <w:rPr>
          <w:rFonts w:ascii="Times New Roman" w:eastAsiaTheme="minorHAnsi" w:hAnsi="Times New Roman"/>
          <w:sz w:val="24"/>
          <w:szCs w:val="24"/>
        </w:rPr>
        <w:softHyphen/>
        <w:t>bės gy</w:t>
      </w:r>
      <w:r w:rsidR="0073411D" w:rsidRPr="0090383C">
        <w:rPr>
          <w:rFonts w:ascii="Times New Roman" w:eastAsiaTheme="minorHAnsi" w:hAnsi="Times New Roman"/>
          <w:sz w:val="24"/>
          <w:szCs w:val="24"/>
        </w:rPr>
        <w:softHyphen/>
        <w:t>ven</w:t>
      </w:r>
      <w:r w:rsidR="0073411D" w:rsidRPr="0090383C">
        <w:rPr>
          <w:rFonts w:ascii="Times New Roman" w:eastAsiaTheme="minorHAnsi" w:hAnsi="Times New Roman"/>
          <w:sz w:val="24"/>
          <w:szCs w:val="24"/>
        </w:rPr>
        <w:softHyphen/>
        <w:t>to</w:t>
      </w:r>
      <w:r w:rsidR="0073411D" w:rsidRPr="0090383C">
        <w:rPr>
          <w:rFonts w:ascii="Times New Roman" w:eastAsiaTheme="minorHAnsi" w:hAnsi="Times New Roman"/>
          <w:sz w:val="24"/>
          <w:szCs w:val="24"/>
        </w:rPr>
        <w:softHyphen/>
        <w:t>jų yra di</w:t>
      </w:r>
      <w:r w:rsidR="0073411D" w:rsidRPr="0090383C">
        <w:rPr>
          <w:rFonts w:ascii="Times New Roman" w:eastAsiaTheme="minorHAnsi" w:hAnsi="Times New Roman"/>
          <w:sz w:val="24"/>
          <w:szCs w:val="24"/>
        </w:rPr>
        <w:softHyphen/>
        <w:t>džiau</w:t>
      </w:r>
      <w:r w:rsidR="0073411D" w:rsidRPr="0090383C">
        <w:rPr>
          <w:rFonts w:ascii="Times New Roman" w:eastAsiaTheme="minorHAnsi" w:hAnsi="Times New Roman"/>
          <w:sz w:val="24"/>
          <w:szCs w:val="24"/>
        </w:rPr>
        <w:softHyphen/>
        <w:t>sia iš di</w:t>
      </w:r>
      <w:r w:rsidR="0073411D" w:rsidRPr="0090383C">
        <w:rPr>
          <w:rFonts w:ascii="Times New Roman" w:eastAsiaTheme="minorHAnsi" w:hAnsi="Times New Roman"/>
          <w:sz w:val="24"/>
          <w:szCs w:val="24"/>
        </w:rPr>
        <w:softHyphen/>
        <w:t>džių</w:t>
      </w:r>
      <w:r w:rsidR="0073411D" w:rsidRPr="0090383C">
        <w:rPr>
          <w:rFonts w:ascii="Times New Roman" w:eastAsiaTheme="minorHAnsi" w:hAnsi="Times New Roman"/>
          <w:sz w:val="24"/>
          <w:szCs w:val="24"/>
        </w:rPr>
        <w:softHyphen/>
        <w:t>jų mies</w:t>
      </w:r>
      <w:r w:rsidR="0073411D" w:rsidRPr="0090383C">
        <w:rPr>
          <w:rFonts w:ascii="Times New Roman" w:eastAsiaTheme="minorHAnsi" w:hAnsi="Times New Roman"/>
          <w:sz w:val="24"/>
          <w:szCs w:val="24"/>
        </w:rPr>
        <w:softHyphen/>
        <w:t>tų. Tarp didžiausių savivaldybių Alytuje didžiausias nedarbo lygis.</w:t>
      </w:r>
    </w:p>
    <w:p w:rsidR="0073411D" w:rsidRPr="0090383C" w:rsidRDefault="00A2375D" w:rsidP="00A2375D">
      <w:pPr>
        <w:jc w:val="both"/>
        <w:rPr>
          <w:rFonts w:ascii="Times New Roman" w:eastAsiaTheme="minorHAnsi" w:hAnsi="Times New Roman"/>
          <w:sz w:val="24"/>
          <w:szCs w:val="24"/>
        </w:rPr>
      </w:pPr>
      <w:r w:rsidRPr="0090383C">
        <w:rPr>
          <w:rFonts w:ascii="Times New Roman" w:eastAsiaTheme="minorHAnsi" w:hAnsi="Times New Roman"/>
          <w:sz w:val="24"/>
          <w:szCs w:val="24"/>
        </w:rPr>
        <w:tab/>
        <w:t xml:space="preserve">Alytaus miesto savivaldybė turi palyginus daug </w:t>
      </w:r>
      <w:r w:rsidR="0073411D" w:rsidRPr="0090383C">
        <w:rPr>
          <w:rFonts w:ascii="Times New Roman" w:eastAsiaTheme="minorHAnsi" w:hAnsi="Times New Roman"/>
          <w:sz w:val="24"/>
          <w:szCs w:val="24"/>
        </w:rPr>
        <w:t>nekilnojamojo turto</w:t>
      </w:r>
      <w:r w:rsidR="007B74E3" w:rsidRPr="0090383C">
        <w:rPr>
          <w:rFonts w:ascii="Times New Roman" w:eastAsiaTheme="minorHAnsi" w:hAnsi="Times New Roman"/>
          <w:sz w:val="24"/>
          <w:szCs w:val="24"/>
        </w:rPr>
        <w:t xml:space="preserve"> (5 </w:t>
      </w:r>
      <w:r w:rsidR="0073411D" w:rsidRPr="0090383C">
        <w:rPr>
          <w:rFonts w:ascii="Times New Roman" w:eastAsiaTheme="minorHAnsi" w:hAnsi="Times New Roman"/>
          <w:sz w:val="24"/>
          <w:szCs w:val="24"/>
        </w:rPr>
        <w:t>687</w:t>
      </w:r>
      <w:r w:rsidRPr="0090383C">
        <w:rPr>
          <w:rFonts w:ascii="Times New Roman" w:eastAsiaTheme="minorHAnsi" w:hAnsi="Times New Roman"/>
          <w:sz w:val="24"/>
          <w:szCs w:val="24"/>
        </w:rPr>
        <w:t xml:space="preserve"> kv. m 1</w:t>
      </w:r>
      <w:r w:rsidR="00524D0F" w:rsidRPr="0090383C">
        <w:rPr>
          <w:rFonts w:ascii="Times New Roman" w:eastAsiaTheme="minorHAnsi" w:hAnsi="Times New Roman"/>
          <w:sz w:val="24"/>
          <w:szCs w:val="24"/>
        </w:rPr>
        <w:t xml:space="preserve"> </w:t>
      </w:r>
      <w:r w:rsidR="0073411D" w:rsidRPr="0090383C">
        <w:rPr>
          <w:rFonts w:ascii="Times New Roman" w:eastAsiaTheme="minorHAnsi" w:hAnsi="Times New Roman"/>
          <w:sz w:val="24"/>
          <w:szCs w:val="24"/>
        </w:rPr>
        <w:t>000 gyventojų 2018</w:t>
      </w:r>
      <w:r w:rsidR="00A46936" w:rsidRPr="0090383C">
        <w:rPr>
          <w:rFonts w:ascii="Times New Roman" w:eastAsiaTheme="minorHAnsi" w:hAnsi="Times New Roman"/>
          <w:sz w:val="24"/>
          <w:szCs w:val="24"/>
        </w:rPr>
        <w:t xml:space="preserve"> m.) –</w:t>
      </w:r>
      <w:r w:rsidR="007B74E3" w:rsidRPr="0090383C">
        <w:rPr>
          <w:rFonts w:ascii="Times New Roman" w:eastAsiaTheme="minorHAnsi" w:hAnsi="Times New Roman"/>
          <w:sz w:val="24"/>
          <w:szCs w:val="24"/>
        </w:rPr>
        <w:t xml:space="preserve"> </w:t>
      </w:r>
      <w:r w:rsidR="0073411D" w:rsidRPr="0090383C">
        <w:rPr>
          <w:rFonts w:ascii="Times New Roman" w:eastAsiaTheme="minorHAnsi" w:hAnsi="Times New Roman"/>
          <w:sz w:val="24"/>
          <w:szCs w:val="24"/>
        </w:rPr>
        <w:t>iš jų numatyta privatizuoti tik 0,7 proc. ploto. Kaip ir per</w:t>
      </w:r>
      <w:r w:rsidR="0073411D" w:rsidRPr="0090383C">
        <w:rPr>
          <w:rFonts w:ascii="Times New Roman" w:eastAsiaTheme="minorHAnsi" w:hAnsi="Times New Roman"/>
          <w:sz w:val="24"/>
          <w:szCs w:val="24"/>
        </w:rPr>
        <w:softHyphen/>
        <w:t>nai Aly</w:t>
      </w:r>
      <w:r w:rsidR="0073411D" w:rsidRPr="0090383C">
        <w:rPr>
          <w:rFonts w:ascii="Times New Roman" w:eastAsiaTheme="minorHAnsi" w:hAnsi="Times New Roman"/>
          <w:sz w:val="24"/>
          <w:szCs w:val="24"/>
        </w:rPr>
        <w:softHyphen/>
        <w:t>taus mies</w:t>
      </w:r>
      <w:r w:rsidR="0073411D" w:rsidRPr="0090383C">
        <w:rPr>
          <w:rFonts w:ascii="Times New Roman" w:eastAsiaTheme="minorHAnsi" w:hAnsi="Times New Roman"/>
          <w:sz w:val="24"/>
          <w:szCs w:val="24"/>
        </w:rPr>
        <w:softHyphen/>
        <w:t>te yra vie</w:t>
      </w:r>
      <w:r w:rsidR="0073411D" w:rsidRPr="0090383C">
        <w:rPr>
          <w:rFonts w:ascii="Times New Roman" w:eastAsiaTheme="minorHAnsi" w:hAnsi="Times New Roman"/>
          <w:sz w:val="24"/>
          <w:szCs w:val="24"/>
        </w:rPr>
        <w:softHyphen/>
        <w:t>ni aukš</w:t>
      </w:r>
      <w:r w:rsidR="0073411D" w:rsidRPr="0090383C">
        <w:rPr>
          <w:rFonts w:ascii="Times New Roman" w:eastAsiaTheme="minorHAnsi" w:hAnsi="Times New Roman"/>
          <w:sz w:val="24"/>
          <w:szCs w:val="24"/>
        </w:rPr>
        <w:softHyphen/>
        <w:t>čiau</w:t>
      </w:r>
      <w:r w:rsidR="0073411D" w:rsidRPr="0090383C">
        <w:rPr>
          <w:rFonts w:ascii="Times New Roman" w:eastAsiaTheme="minorHAnsi" w:hAnsi="Times New Roman"/>
          <w:sz w:val="24"/>
          <w:szCs w:val="24"/>
        </w:rPr>
        <w:softHyphen/>
        <w:t>sių tarp di</w:t>
      </w:r>
      <w:r w:rsidR="0073411D" w:rsidRPr="0090383C">
        <w:rPr>
          <w:rFonts w:ascii="Times New Roman" w:eastAsiaTheme="minorHAnsi" w:hAnsi="Times New Roman"/>
          <w:sz w:val="24"/>
          <w:szCs w:val="24"/>
        </w:rPr>
        <w:softHyphen/>
        <w:t>džių</w:t>
      </w:r>
      <w:r w:rsidR="0073411D" w:rsidRPr="0090383C">
        <w:rPr>
          <w:rFonts w:ascii="Times New Roman" w:eastAsiaTheme="minorHAnsi" w:hAnsi="Times New Roman"/>
          <w:sz w:val="24"/>
          <w:szCs w:val="24"/>
        </w:rPr>
        <w:softHyphen/>
        <w:t>jų sa</w:t>
      </w:r>
      <w:r w:rsidR="0073411D" w:rsidRPr="0090383C">
        <w:rPr>
          <w:rFonts w:ascii="Times New Roman" w:eastAsiaTheme="minorHAnsi" w:hAnsi="Times New Roman"/>
          <w:sz w:val="24"/>
          <w:szCs w:val="24"/>
        </w:rPr>
        <w:softHyphen/>
        <w:t>vi</w:t>
      </w:r>
      <w:r w:rsidR="0073411D" w:rsidRPr="0090383C">
        <w:rPr>
          <w:rFonts w:ascii="Times New Roman" w:eastAsiaTheme="minorHAnsi" w:hAnsi="Times New Roman"/>
          <w:sz w:val="24"/>
          <w:szCs w:val="24"/>
        </w:rPr>
        <w:softHyphen/>
        <w:t>val</w:t>
      </w:r>
      <w:r w:rsidR="0073411D" w:rsidRPr="0090383C">
        <w:rPr>
          <w:rFonts w:ascii="Times New Roman" w:eastAsiaTheme="minorHAnsi" w:hAnsi="Times New Roman"/>
          <w:sz w:val="24"/>
          <w:szCs w:val="24"/>
        </w:rPr>
        <w:softHyphen/>
        <w:t>dy</w:t>
      </w:r>
      <w:r w:rsidR="0073411D" w:rsidRPr="0090383C">
        <w:rPr>
          <w:rFonts w:ascii="Times New Roman" w:eastAsiaTheme="minorHAnsi" w:hAnsi="Times New Roman"/>
          <w:sz w:val="24"/>
          <w:szCs w:val="24"/>
        </w:rPr>
        <w:softHyphen/>
        <w:t>bių pa</w:t>
      </w:r>
      <w:r w:rsidR="0073411D" w:rsidRPr="0090383C">
        <w:rPr>
          <w:rFonts w:ascii="Times New Roman" w:eastAsiaTheme="minorHAnsi" w:hAnsi="Times New Roman"/>
          <w:sz w:val="24"/>
          <w:szCs w:val="24"/>
        </w:rPr>
        <w:softHyphen/>
        <w:t>grin</w:t>
      </w:r>
      <w:r w:rsidR="0073411D" w:rsidRPr="0090383C">
        <w:rPr>
          <w:rFonts w:ascii="Times New Roman" w:eastAsiaTheme="minorHAnsi" w:hAnsi="Times New Roman"/>
          <w:sz w:val="24"/>
          <w:szCs w:val="24"/>
        </w:rPr>
        <w:softHyphen/>
        <w:t>di</w:t>
      </w:r>
      <w:r w:rsidR="0073411D" w:rsidRPr="0090383C">
        <w:rPr>
          <w:rFonts w:ascii="Times New Roman" w:eastAsiaTheme="minorHAnsi" w:hAnsi="Times New Roman"/>
          <w:sz w:val="24"/>
          <w:szCs w:val="24"/>
        </w:rPr>
        <w:softHyphen/>
        <w:t>nio ne</w:t>
      </w:r>
      <w:r w:rsidR="0073411D" w:rsidRPr="0090383C">
        <w:rPr>
          <w:rFonts w:ascii="Times New Roman" w:eastAsiaTheme="minorHAnsi" w:hAnsi="Times New Roman"/>
          <w:sz w:val="24"/>
          <w:szCs w:val="24"/>
        </w:rPr>
        <w:softHyphen/>
        <w:t>kil</w:t>
      </w:r>
      <w:r w:rsidR="0073411D" w:rsidRPr="0090383C">
        <w:rPr>
          <w:rFonts w:ascii="Times New Roman" w:eastAsiaTheme="minorHAnsi" w:hAnsi="Times New Roman"/>
          <w:sz w:val="24"/>
          <w:szCs w:val="24"/>
        </w:rPr>
        <w:softHyphen/>
        <w:t>no</w:t>
      </w:r>
      <w:r w:rsidR="0073411D" w:rsidRPr="0090383C">
        <w:rPr>
          <w:rFonts w:ascii="Times New Roman" w:eastAsiaTheme="minorHAnsi" w:hAnsi="Times New Roman"/>
          <w:sz w:val="24"/>
          <w:szCs w:val="24"/>
        </w:rPr>
        <w:softHyphen/>
        <w:t>ja</w:t>
      </w:r>
      <w:r w:rsidR="0073411D" w:rsidRPr="0090383C">
        <w:rPr>
          <w:rFonts w:ascii="Times New Roman" w:eastAsiaTheme="minorHAnsi" w:hAnsi="Times New Roman"/>
          <w:sz w:val="24"/>
          <w:szCs w:val="24"/>
        </w:rPr>
        <w:softHyphen/>
        <w:t>mo</w:t>
      </w:r>
      <w:r w:rsidR="0073411D" w:rsidRPr="0090383C">
        <w:rPr>
          <w:rFonts w:ascii="Times New Roman" w:eastAsiaTheme="minorHAnsi" w:hAnsi="Times New Roman"/>
          <w:sz w:val="24"/>
          <w:szCs w:val="24"/>
        </w:rPr>
        <w:softHyphen/>
        <w:t>jo tur</w:t>
      </w:r>
      <w:r w:rsidR="0073411D" w:rsidRPr="0090383C">
        <w:rPr>
          <w:rFonts w:ascii="Times New Roman" w:eastAsiaTheme="minorHAnsi" w:hAnsi="Times New Roman"/>
          <w:sz w:val="24"/>
          <w:szCs w:val="24"/>
        </w:rPr>
        <w:softHyphen/>
        <w:t>to, ne</w:t>
      </w:r>
      <w:r w:rsidR="0073411D" w:rsidRPr="0090383C">
        <w:rPr>
          <w:rFonts w:ascii="Times New Roman" w:eastAsiaTheme="minorHAnsi" w:hAnsi="Times New Roman"/>
          <w:sz w:val="24"/>
          <w:szCs w:val="24"/>
        </w:rPr>
        <w:softHyphen/>
        <w:t>nau</w:t>
      </w:r>
      <w:r w:rsidR="0073411D" w:rsidRPr="0090383C">
        <w:rPr>
          <w:rFonts w:ascii="Times New Roman" w:eastAsiaTheme="minorHAnsi" w:hAnsi="Times New Roman"/>
          <w:sz w:val="24"/>
          <w:szCs w:val="24"/>
        </w:rPr>
        <w:softHyphen/>
        <w:t>do</w:t>
      </w:r>
      <w:r w:rsidR="0073411D" w:rsidRPr="0090383C">
        <w:rPr>
          <w:rFonts w:ascii="Times New Roman" w:eastAsiaTheme="minorHAnsi" w:hAnsi="Times New Roman"/>
          <w:sz w:val="24"/>
          <w:szCs w:val="24"/>
        </w:rPr>
        <w:softHyphen/>
        <w:t>ja</w:t>
      </w:r>
      <w:r w:rsidR="0073411D" w:rsidRPr="0090383C">
        <w:rPr>
          <w:rFonts w:ascii="Times New Roman" w:eastAsiaTheme="minorHAnsi" w:hAnsi="Times New Roman"/>
          <w:sz w:val="24"/>
          <w:szCs w:val="24"/>
        </w:rPr>
        <w:softHyphen/>
        <w:t>mo ne</w:t>
      </w:r>
      <w:r w:rsidR="0073411D" w:rsidRPr="0090383C">
        <w:rPr>
          <w:rFonts w:ascii="Times New Roman" w:eastAsiaTheme="minorHAnsi" w:hAnsi="Times New Roman"/>
          <w:sz w:val="24"/>
          <w:szCs w:val="24"/>
        </w:rPr>
        <w:softHyphen/>
        <w:t>kil</w:t>
      </w:r>
      <w:r w:rsidR="0073411D" w:rsidRPr="0090383C">
        <w:rPr>
          <w:rFonts w:ascii="Times New Roman" w:eastAsiaTheme="minorHAnsi" w:hAnsi="Times New Roman"/>
          <w:sz w:val="24"/>
          <w:szCs w:val="24"/>
        </w:rPr>
        <w:softHyphen/>
        <w:t>no</w:t>
      </w:r>
      <w:r w:rsidR="0073411D" w:rsidRPr="0090383C">
        <w:rPr>
          <w:rFonts w:ascii="Times New Roman" w:eastAsiaTheme="minorHAnsi" w:hAnsi="Times New Roman"/>
          <w:sz w:val="24"/>
          <w:szCs w:val="24"/>
        </w:rPr>
        <w:softHyphen/>
        <w:t>ja</w:t>
      </w:r>
      <w:r w:rsidR="0073411D" w:rsidRPr="0090383C">
        <w:rPr>
          <w:rFonts w:ascii="Times New Roman" w:eastAsiaTheme="minorHAnsi" w:hAnsi="Times New Roman"/>
          <w:sz w:val="24"/>
          <w:szCs w:val="24"/>
        </w:rPr>
        <w:softHyphen/>
        <w:t>mo</w:t>
      </w:r>
      <w:r w:rsidR="0073411D" w:rsidRPr="0090383C">
        <w:rPr>
          <w:rFonts w:ascii="Times New Roman" w:eastAsiaTheme="minorHAnsi" w:hAnsi="Times New Roman"/>
          <w:sz w:val="24"/>
          <w:szCs w:val="24"/>
        </w:rPr>
        <w:softHyphen/>
        <w:t>jo tur</w:t>
      </w:r>
      <w:r w:rsidR="0073411D" w:rsidRPr="0090383C">
        <w:rPr>
          <w:rFonts w:ascii="Times New Roman" w:eastAsiaTheme="minorHAnsi" w:hAnsi="Times New Roman"/>
          <w:sz w:val="24"/>
          <w:szCs w:val="24"/>
        </w:rPr>
        <w:softHyphen/>
        <w:t>to ir ap</w:t>
      </w:r>
      <w:r w:rsidR="0073411D" w:rsidRPr="0090383C">
        <w:rPr>
          <w:rFonts w:ascii="Times New Roman" w:eastAsiaTheme="minorHAnsi" w:hAnsi="Times New Roman"/>
          <w:sz w:val="24"/>
          <w:szCs w:val="24"/>
        </w:rPr>
        <w:softHyphen/>
        <w:t>leis</w:t>
      </w:r>
      <w:r w:rsidR="0073411D" w:rsidRPr="0090383C">
        <w:rPr>
          <w:rFonts w:ascii="Times New Roman" w:eastAsiaTheme="minorHAnsi" w:hAnsi="Times New Roman"/>
          <w:sz w:val="24"/>
          <w:szCs w:val="24"/>
        </w:rPr>
        <w:softHyphen/>
        <w:t>tos že</w:t>
      </w:r>
      <w:r w:rsidR="0073411D" w:rsidRPr="0090383C">
        <w:rPr>
          <w:rFonts w:ascii="Times New Roman" w:eastAsiaTheme="minorHAnsi" w:hAnsi="Times New Roman"/>
          <w:sz w:val="24"/>
          <w:szCs w:val="24"/>
        </w:rPr>
        <w:softHyphen/>
        <w:t>mės mo</w:t>
      </w:r>
      <w:r w:rsidR="0073411D" w:rsidRPr="0090383C">
        <w:rPr>
          <w:rFonts w:ascii="Times New Roman" w:eastAsiaTheme="minorHAnsi" w:hAnsi="Times New Roman"/>
          <w:sz w:val="24"/>
          <w:szCs w:val="24"/>
        </w:rPr>
        <w:softHyphen/>
        <w:t>kes</w:t>
      </w:r>
      <w:r w:rsidR="0073411D" w:rsidRPr="0090383C">
        <w:rPr>
          <w:rFonts w:ascii="Times New Roman" w:eastAsiaTheme="minorHAnsi" w:hAnsi="Times New Roman"/>
          <w:sz w:val="24"/>
          <w:szCs w:val="24"/>
        </w:rPr>
        <w:softHyphen/>
        <w:t>čių ta</w:t>
      </w:r>
      <w:r w:rsidR="0073411D" w:rsidRPr="0090383C">
        <w:rPr>
          <w:rFonts w:ascii="Times New Roman" w:eastAsiaTheme="minorHAnsi" w:hAnsi="Times New Roman"/>
          <w:sz w:val="24"/>
          <w:szCs w:val="24"/>
        </w:rPr>
        <w:softHyphen/>
        <w:t>ri</w:t>
      </w:r>
      <w:r w:rsidR="0073411D" w:rsidRPr="0090383C">
        <w:rPr>
          <w:rFonts w:ascii="Times New Roman" w:eastAsiaTheme="minorHAnsi" w:hAnsi="Times New Roman"/>
          <w:sz w:val="24"/>
          <w:szCs w:val="24"/>
        </w:rPr>
        <w:softHyphen/>
        <w:t>fai.</w:t>
      </w:r>
    </w:p>
    <w:p w:rsidR="00A81C80" w:rsidRPr="0090383C" w:rsidRDefault="00A317A3" w:rsidP="00A2375D">
      <w:pPr>
        <w:jc w:val="both"/>
        <w:rPr>
          <w:rFonts w:ascii="Times New Roman" w:eastAsia="Times New Roman" w:hAnsi="Times New Roman"/>
          <w:sz w:val="24"/>
          <w:szCs w:val="24"/>
        </w:rPr>
      </w:pPr>
      <w:r w:rsidRPr="0090383C">
        <w:rPr>
          <w:rFonts w:ascii="Times New Roman" w:eastAsia="Times New Roman" w:hAnsi="Times New Roman"/>
          <w:b/>
          <w:sz w:val="24"/>
          <w:szCs w:val="24"/>
        </w:rPr>
        <w:tab/>
      </w:r>
      <w:r w:rsidR="00FA3D70" w:rsidRPr="0090383C">
        <w:rPr>
          <w:rFonts w:ascii="Times New Roman" w:eastAsia="Times New Roman" w:hAnsi="Times New Roman"/>
          <w:b/>
          <w:sz w:val="24"/>
          <w:szCs w:val="24"/>
        </w:rPr>
        <w:t>Demografija.</w:t>
      </w:r>
      <w:r w:rsidR="00FA3D70" w:rsidRPr="0090383C">
        <w:rPr>
          <w:rFonts w:ascii="Times New Roman" w:eastAsia="Times New Roman" w:hAnsi="Times New Roman"/>
          <w:sz w:val="24"/>
          <w:szCs w:val="24"/>
        </w:rPr>
        <w:t xml:space="preserve"> Alytus – didžiausias </w:t>
      </w:r>
      <w:r w:rsidR="00524D0F" w:rsidRPr="0090383C">
        <w:rPr>
          <w:rFonts w:ascii="Times New Roman" w:eastAsia="Times New Roman" w:hAnsi="Times New Roman"/>
          <w:sz w:val="24"/>
          <w:szCs w:val="24"/>
        </w:rPr>
        <w:t>P</w:t>
      </w:r>
      <w:r w:rsidR="00FA3D70" w:rsidRPr="0090383C">
        <w:rPr>
          <w:rFonts w:ascii="Times New Roman" w:eastAsia="Times New Roman" w:hAnsi="Times New Roman"/>
          <w:sz w:val="24"/>
          <w:szCs w:val="24"/>
        </w:rPr>
        <w:t xml:space="preserve">ietų Lietuvos miestas, apskrities centras. </w:t>
      </w:r>
      <w:r w:rsidR="00054F49" w:rsidRPr="0090383C">
        <w:rPr>
          <w:rFonts w:ascii="Times New Roman" w:eastAsiaTheme="minorHAnsi" w:hAnsi="Times New Roman"/>
          <w:sz w:val="24"/>
          <w:szCs w:val="24"/>
        </w:rPr>
        <w:t xml:space="preserve">Alytus </w:t>
      </w:r>
      <w:r w:rsidR="00524D0F" w:rsidRPr="0090383C">
        <w:rPr>
          <w:rFonts w:ascii="Times New Roman" w:eastAsiaTheme="minorHAnsi" w:hAnsi="Times New Roman"/>
          <w:sz w:val="24"/>
          <w:szCs w:val="24"/>
        </w:rPr>
        <w:t>–</w:t>
      </w:r>
      <w:r w:rsidR="00054F49" w:rsidRPr="0090383C">
        <w:rPr>
          <w:rFonts w:ascii="Times New Roman" w:eastAsiaTheme="minorHAnsi" w:hAnsi="Times New Roman"/>
          <w:sz w:val="24"/>
          <w:szCs w:val="24"/>
        </w:rPr>
        <w:t xml:space="preserve"> vienas mažiausiai apgyvendintų Lietuvos miestų, čia gyvena</w:t>
      </w:r>
      <w:r w:rsidR="00A46936" w:rsidRPr="0090383C">
        <w:rPr>
          <w:rFonts w:ascii="Times New Roman" w:eastAsiaTheme="minorHAnsi" w:hAnsi="Times New Roman"/>
          <w:sz w:val="24"/>
          <w:szCs w:val="24"/>
        </w:rPr>
        <w:t xml:space="preserve"> </w:t>
      </w:r>
      <w:r w:rsidR="004533AE" w:rsidRPr="0090383C">
        <w:rPr>
          <w:rFonts w:ascii="Times New Roman" w:eastAsiaTheme="minorHAnsi" w:hAnsi="Times New Roman"/>
          <w:sz w:val="24"/>
          <w:szCs w:val="24"/>
        </w:rPr>
        <w:t>1</w:t>
      </w:r>
      <w:r w:rsidR="00DD00DF" w:rsidRPr="0090383C">
        <w:rPr>
          <w:rFonts w:ascii="Times New Roman" w:eastAsiaTheme="minorHAnsi" w:hAnsi="Times New Roman"/>
          <w:sz w:val="24"/>
          <w:szCs w:val="24"/>
        </w:rPr>
        <w:t xml:space="preserve"> </w:t>
      </w:r>
      <w:r w:rsidR="00556C89" w:rsidRPr="0090383C">
        <w:rPr>
          <w:rFonts w:ascii="Times New Roman" w:eastAsiaTheme="minorHAnsi" w:hAnsi="Times New Roman"/>
          <w:sz w:val="24"/>
          <w:szCs w:val="24"/>
        </w:rPr>
        <w:t>288,4</w:t>
      </w:r>
      <w:r w:rsidR="00054F49" w:rsidRPr="0090383C">
        <w:rPr>
          <w:rFonts w:ascii="Times New Roman" w:eastAsiaTheme="minorHAnsi" w:hAnsi="Times New Roman"/>
          <w:sz w:val="24"/>
          <w:szCs w:val="24"/>
        </w:rPr>
        <w:t xml:space="preserve"> žm./km², tuo tarpu Kaune</w:t>
      </w:r>
      <w:r w:rsidR="00A46936" w:rsidRPr="0090383C">
        <w:rPr>
          <w:rFonts w:ascii="Times New Roman" w:eastAsiaTheme="minorHAnsi" w:hAnsi="Times New Roman"/>
          <w:sz w:val="24"/>
          <w:szCs w:val="24"/>
        </w:rPr>
        <w:t xml:space="preserve"> </w:t>
      </w:r>
      <w:r w:rsidR="00556C89" w:rsidRPr="0090383C">
        <w:rPr>
          <w:rStyle w:val="table-value"/>
          <w:rFonts w:ascii="Times New Roman" w:hAnsi="Times New Roman"/>
          <w:sz w:val="24"/>
          <w:szCs w:val="24"/>
        </w:rPr>
        <w:t>1 836,7</w:t>
      </w:r>
      <w:r w:rsidR="00DD00DF" w:rsidRPr="0090383C">
        <w:rPr>
          <w:rFonts w:ascii="Times New Roman" w:eastAsiaTheme="minorHAnsi" w:hAnsi="Times New Roman"/>
          <w:sz w:val="24"/>
          <w:szCs w:val="24"/>
        </w:rPr>
        <w:t xml:space="preserve"> </w:t>
      </w:r>
      <w:r w:rsidR="004533AE" w:rsidRPr="0090383C">
        <w:rPr>
          <w:rFonts w:ascii="Times New Roman" w:eastAsiaTheme="minorHAnsi" w:hAnsi="Times New Roman"/>
          <w:sz w:val="24"/>
          <w:szCs w:val="24"/>
        </w:rPr>
        <w:t xml:space="preserve">žm./km², Klaipėdoje </w:t>
      </w:r>
      <w:r w:rsidR="00556C89" w:rsidRPr="0090383C">
        <w:rPr>
          <w:rFonts w:ascii="Times New Roman" w:eastAsiaTheme="minorHAnsi" w:hAnsi="Times New Roman"/>
          <w:sz w:val="24"/>
          <w:szCs w:val="24"/>
        </w:rPr>
        <w:t xml:space="preserve">1 519,5 </w:t>
      </w:r>
      <w:r w:rsidR="00054F49" w:rsidRPr="0090383C">
        <w:rPr>
          <w:rFonts w:ascii="Times New Roman" w:eastAsiaTheme="minorHAnsi" w:hAnsi="Times New Roman"/>
          <w:sz w:val="24"/>
          <w:szCs w:val="24"/>
        </w:rPr>
        <w:t xml:space="preserve">žm./km², </w:t>
      </w:r>
      <w:r w:rsidR="008876AD" w:rsidRPr="0090383C">
        <w:rPr>
          <w:rFonts w:ascii="Times New Roman" w:eastAsiaTheme="minorHAnsi" w:hAnsi="Times New Roman"/>
          <w:sz w:val="24"/>
          <w:szCs w:val="24"/>
        </w:rPr>
        <w:t>Panevėžyje</w:t>
      </w:r>
      <w:r w:rsidR="00054F49" w:rsidRPr="0090383C">
        <w:rPr>
          <w:rFonts w:ascii="Times New Roman" w:eastAsiaTheme="minorHAnsi" w:hAnsi="Times New Roman"/>
          <w:sz w:val="24"/>
          <w:szCs w:val="24"/>
        </w:rPr>
        <w:t xml:space="preserve"> </w:t>
      </w:r>
      <w:r w:rsidR="00556C89" w:rsidRPr="0090383C">
        <w:rPr>
          <w:rFonts w:ascii="Times New Roman" w:eastAsiaTheme="minorHAnsi" w:hAnsi="Times New Roman"/>
          <w:sz w:val="24"/>
          <w:szCs w:val="24"/>
        </w:rPr>
        <w:t xml:space="preserve">1 773,6 </w:t>
      </w:r>
      <w:r w:rsidR="00315633" w:rsidRPr="0090383C">
        <w:rPr>
          <w:rFonts w:ascii="Times New Roman" w:eastAsiaTheme="minorHAnsi" w:hAnsi="Times New Roman"/>
          <w:sz w:val="24"/>
          <w:szCs w:val="24"/>
        </w:rPr>
        <w:t>žm./km², Utenoje 1</w:t>
      </w:r>
      <w:r w:rsidR="00DD00DF" w:rsidRPr="0090383C">
        <w:rPr>
          <w:rFonts w:ascii="Times New Roman" w:eastAsiaTheme="minorHAnsi" w:hAnsi="Times New Roman"/>
          <w:sz w:val="24"/>
          <w:szCs w:val="24"/>
        </w:rPr>
        <w:t xml:space="preserve"> </w:t>
      </w:r>
      <w:r w:rsidR="00315633" w:rsidRPr="0090383C">
        <w:rPr>
          <w:rFonts w:ascii="Times New Roman" w:eastAsiaTheme="minorHAnsi" w:hAnsi="Times New Roman"/>
          <w:sz w:val="24"/>
          <w:szCs w:val="24"/>
        </w:rPr>
        <w:t>724 žm./km², Marijampolėje 1</w:t>
      </w:r>
      <w:r w:rsidR="00DD00DF" w:rsidRPr="0090383C">
        <w:rPr>
          <w:rFonts w:ascii="Times New Roman" w:eastAsiaTheme="minorHAnsi" w:hAnsi="Times New Roman"/>
          <w:sz w:val="24"/>
          <w:szCs w:val="24"/>
        </w:rPr>
        <w:t xml:space="preserve"> </w:t>
      </w:r>
      <w:r w:rsidR="00315633" w:rsidRPr="0090383C">
        <w:rPr>
          <w:rFonts w:ascii="Times New Roman" w:eastAsiaTheme="minorHAnsi" w:hAnsi="Times New Roman"/>
          <w:sz w:val="24"/>
          <w:szCs w:val="24"/>
        </w:rPr>
        <w:t>717</w:t>
      </w:r>
      <w:r w:rsidR="0093219C" w:rsidRPr="0090383C">
        <w:rPr>
          <w:rFonts w:ascii="Times New Roman" w:eastAsiaTheme="minorHAnsi" w:hAnsi="Times New Roman"/>
          <w:sz w:val="24"/>
          <w:szCs w:val="24"/>
        </w:rPr>
        <w:t xml:space="preserve"> </w:t>
      </w:r>
      <w:r w:rsidR="00054F49" w:rsidRPr="0090383C">
        <w:rPr>
          <w:rFonts w:ascii="Times New Roman" w:eastAsiaTheme="minorHAnsi" w:hAnsi="Times New Roman"/>
          <w:sz w:val="24"/>
          <w:szCs w:val="24"/>
        </w:rPr>
        <w:t xml:space="preserve">žm./km². </w:t>
      </w:r>
      <w:r w:rsidR="00FA3D70" w:rsidRPr="0090383C">
        <w:rPr>
          <w:rFonts w:ascii="Times New Roman" w:eastAsia="Times New Roman" w:hAnsi="Times New Roman"/>
          <w:sz w:val="24"/>
          <w:szCs w:val="24"/>
        </w:rPr>
        <w:t xml:space="preserve">Jame gyvena 37,5 proc. Alytaus apskrities gyventojų. </w:t>
      </w:r>
      <w:r w:rsidR="00A81C80" w:rsidRPr="0090383C">
        <w:rPr>
          <w:rFonts w:ascii="Times New Roman" w:eastAsia="Times New Roman" w:hAnsi="Times New Roman"/>
          <w:sz w:val="24"/>
          <w:szCs w:val="24"/>
        </w:rPr>
        <w:t>Viena didžiausių problemų, kuri</w:t>
      </w:r>
      <w:r w:rsidR="00117618" w:rsidRPr="0090383C">
        <w:rPr>
          <w:rFonts w:ascii="Times New Roman" w:eastAsia="Times New Roman" w:hAnsi="Times New Roman"/>
          <w:sz w:val="24"/>
          <w:szCs w:val="24"/>
        </w:rPr>
        <w:t>ą</w:t>
      </w:r>
      <w:r w:rsidR="00A81C80" w:rsidRPr="0090383C">
        <w:rPr>
          <w:rFonts w:ascii="Times New Roman" w:eastAsia="Times New Roman" w:hAnsi="Times New Roman"/>
          <w:sz w:val="24"/>
          <w:szCs w:val="24"/>
        </w:rPr>
        <w:t xml:space="preserve"> patiria Lietuva ir Alytaus miestas, yra prastėjantys demografiniai </w:t>
      </w:r>
      <w:r w:rsidR="00A81C80" w:rsidRPr="0090383C">
        <w:rPr>
          <w:rFonts w:ascii="Times New Roman" w:eastAsia="Times New Roman" w:hAnsi="Times New Roman"/>
          <w:sz w:val="24"/>
          <w:szCs w:val="24"/>
        </w:rPr>
        <w:lastRenderedPageBreak/>
        <w:t>rodikliai. Mažėja gyventojų skaičius – per pastaruosius keletą metų mieste gyventojų</w:t>
      </w:r>
      <w:r w:rsidR="006A7784" w:rsidRPr="0090383C">
        <w:rPr>
          <w:rFonts w:ascii="Times New Roman" w:eastAsia="Times New Roman" w:hAnsi="Times New Roman"/>
          <w:sz w:val="24"/>
          <w:szCs w:val="24"/>
        </w:rPr>
        <w:t xml:space="preserve"> sumažėjo 9 proc.:  2015</w:t>
      </w:r>
      <w:r w:rsidR="00A81C80" w:rsidRPr="0090383C">
        <w:rPr>
          <w:rFonts w:ascii="Times New Roman" w:eastAsia="Times New Roman" w:hAnsi="Times New Roman"/>
          <w:sz w:val="24"/>
          <w:szCs w:val="24"/>
        </w:rPr>
        <w:t xml:space="preserve"> m. Alytaus mieste gyve</w:t>
      </w:r>
      <w:r w:rsidR="002961F9" w:rsidRPr="0090383C">
        <w:rPr>
          <w:rFonts w:ascii="Times New Roman" w:eastAsia="Times New Roman" w:hAnsi="Times New Roman"/>
          <w:sz w:val="24"/>
          <w:szCs w:val="24"/>
        </w:rPr>
        <w:t xml:space="preserve">no </w:t>
      </w:r>
      <w:r w:rsidR="006A7784" w:rsidRPr="0090383C">
        <w:rPr>
          <w:rFonts w:ascii="Times New Roman" w:eastAsia="Times New Roman" w:hAnsi="Times New Roman"/>
          <w:sz w:val="24"/>
          <w:szCs w:val="24"/>
        </w:rPr>
        <w:t>55,6 tūkst. gyventojų, o 2019</w:t>
      </w:r>
      <w:r w:rsidR="00207388" w:rsidRPr="0090383C">
        <w:rPr>
          <w:rFonts w:ascii="Times New Roman" w:eastAsia="Times New Roman" w:hAnsi="Times New Roman"/>
          <w:sz w:val="24"/>
          <w:szCs w:val="24"/>
        </w:rPr>
        <w:t xml:space="preserve"> </w:t>
      </w:r>
      <w:r w:rsidR="00524D0F" w:rsidRPr="0090383C">
        <w:rPr>
          <w:rFonts w:ascii="Times New Roman" w:eastAsia="Times New Roman" w:hAnsi="Times New Roman"/>
          <w:sz w:val="24"/>
          <w:szCs w:val="24"/>
        </w:rPr>
        <w:t xml:space="preserve">m. </w:t>
      </w:r>
      <w:r w:rsidR="00DE15C7" w:rsidRPr="0090383C">
        <w:rPr>
          <w:rFonts w:ascii="Times New Roman" w:eastAsia="Times New Roman" w:hAnsi="Times New Roman"/>
          <w:sz w:val="24"/>
          <w:szCs w:val="24"/>
        </w:rPr>
        <w:t>viduryje</w:t>
      </w:r>
      <w:r w:rsidR="001F4A79" w:rsidRPr="0090383C">
        <w:rPr>
          <w:rFonts w:ascii="Times New Roman" w:eastAsia="Times New Roman" w:hAnsi="Times New Roman"/>
          <w:sz w:val="24"/>
          <w:szCs w:val="24"/>
        </w:rPr>
        <w:t xml:space="preserve"> </w:t>
      </w:r>
      <w:r w:rsidR="001A05D1" w:rsidRPr="0090383C">
        <w:rPr>
          <w:rFonts w:ascii="Times New Roman" w:eastAsia="Times New Roman" w:hAnsi="Times New Roman"/>
          <w:sz w:val="24"/>
          <w:szCs w:val="24"/>
        </w:rPr>
        <w:t xml:space="preserve">– </w:t>
      </w:r>
      <w:r w:rsidR="006A7784" w:rsidRPr="0090383C">
        <w:rPr>
          <w:rFonts w:ascii="Times New Roman" w:eastAsia="Times New Roman" w:hAnsi="Times New Roman"/>
          <w:sz w:val="24"/>
          <w:szCs w:val="24"/>
        </w:rPr>
        <w:t>50</w:t>
      </w:r>
      <w:r w:rsidR="008A6939" w:rsidRPr="0090383C">
        <w:rPr>
          <w:rFonts w:ascii="Times New Roman" w:eastAsia="Times New Roman" w:hAnsi="Times New Roman"/>
          <w:sz w:val="24"/>
          <w:szCs w:val="24"/>
        </w:rPr>
        <w:t>,</w:t>
      </w:r>
      <w:r w:rsidR="00DE15C7" w:rsidRPr="0090383C">
        <w:rPr>
          <w:rFonts w:ascii="Times New Roman" w:eastAsia="Times New Roman" w:hAnsi="Times New Roman"/>
          <w:sz w:val="24"/>
          <w:szCs w:val="24"/>
        </w:rPr>
        <w:t>0</w:t>
      </w:r>
      <w:r w:rsidR="006A7784" w:rsidRPr="0090383C">
        <w:rPr>
          <w:rFonts w:ascii="Times New Roman" w:eastAsia="Times New Roman" w:hAnsi="Times New Roman"/>
          <w:sz w:val="24"/>
          <w:szCs w:val="24"/>
        </w:rPr>
        <w:t>3</w:t>
      </w:r>
      <w:r w:rsidR="001A05D1" w:rsidRPr="0090383C">
        <w:rPr>
          <w:rFonts w:ascii="Times New Roman" w:eastAsia="Times New Roman" w:hAnsi="Times New Roman"/>
          <w:sz w:val="24"/>
          <w:szCs w:val="24"/>
        </w:rPr>
        <w:t xml:space="preserve"> tūkst. </w:t>
      </w:r>
      <w:r w:rsidR="00A81C80" w:rsidRPr="0090383C">
        <w:rPr>
          <w:rFonts w:ascii="Times New Roman" w:eastAsia="Times New Roman" w:hAnsi="Times New Roman"/>
          <w:sz w:val="24"/>
          <w:szCs w:val="24"/>
        </w:rPr>
        <w:t>(žr. 1 pav.).</w:t>
      </w:r>
    </w:p>
    <w:p w:rsidR="00F579F2" w:rsidRPr="0090383C" w:rsidRDefault="00F579F2" w:rsidP="00F579F2">
      <w:pPr>
        <w:ind w:firstLine="1298"/>
        <w:jc w:val="both"/>
        <w:rPr>
          <w:rFonts w:ascii="Times New Roman" w:eastAsia="Times New Roman" w:hAnsi="Times New Roman"/>
          <w:sz w:val="24"/>
          <w:szCs w:val="24"/>
        </w:rPr>
      </w:pPr>
    </w:p>
    <w:p w:rsidR="00F579F2" w:rsidRPr="0090383C" w:rsidRDefault="00E427AA" w:rsidP="00F579F2">
      <w:pPr>
        <w:ind w:firstLine="284"/>
        <w:jc w:val="both"/>
        <w:rPr>
          <w:rFonts w:ascii="Times New Roman" w:eastAsia="Times New Roman" w:hAnsi="Times New Roman"/>
          <w:sz w:val="24"/>
          <w:szCs w:val="24"/>
        </w:rPr>
      </w:pPr>
      <w:r w:rsidRPr="0090383C">
        <w:rPr>
          <w:noProof/>
          <w:lang w:eastAsia="lt-LT"/>
        </w:rPr>
        <w:drawing>
          <wp:inline distT="0" distB="0" distL="0" distR="0" wp14:anchorId="32998A95" wp14:editId="4766555D">
            <wp:extent cx="5429250" cy="2371725"/>
            <wp:effectExtent l="0" t="0" r="19050" b="95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1C80" w:rsidRPr="0090383C" w:rsidRDefault="00A81C80" w:rsidP="00A81C80">
      <w:pPr>
        <w:spacing w:before="100" w:beforeAutospacing="1" w:after="100" w:afterAutospacing="1"/>
        <w:ind w:firstLine="1298"/>
        <w:jc w:val="center"/>
        <w:rPr>
          <w:rFonts w:ascii="Times New Roman" w:eastAsia="Times New Roman" w:hAnsi="Times New Roman"/>
          <w:sz w:val="24"/>
          <w:szCs w:val="24"/>
        </w:rPr>
      </w:pPr>
      <w:r w:rsidRPr="0090383C">
        <w:rPr>
          <w:rFonts w:ascii="Times New Roman" w:eastAsia="Times New Roman" w:hAnsi="Times New Roman"/>
          <w:sz w:val="24"/>
          <w:szCs w:val="24"/>
        </w:rPr>
        <w:t xml:space="preserve">1 pav. </w:t>
      </w:r>
      <w:r w:rsidRPr="0090383C">
        <w:rPr>
          <w:rFonts w:ascii="Times New Roman" w:eastAsia="Times New Roman" w:hAnsi="Times New Roman"/>
          <w:sz w:val="24"/>
          <w:szCs w:val="24"/>
          <w:lang w:eastAsia="lt-LT"/>
        </w:rPr>
        <w:t>Alytaus m. gyventojų s</w:t>
      </w:r>
      <w:r w:rsidR="00E427AA" w:rsidRPr="0090383C">
        <w:rPr>
          <w:rFonts w:ascii="Times New Roman" w:eastAsia="Times New Roman" w:hAnsi="Times New Roman"/>
          <w:sz w:val="24"/>
          <w:szCs w:val="24"/>
          <w:lang w:eastAsia="lt-LT"/>
        </w:rPr>
        <w:t>kaičius metų pradžioje 2015–2019</w:t>
      </w:r>
      <w:r w:rsidR="00A86DA4" w:rsidRPr="0090383C">
        <w:rPr>
          <w:rFonts w:ascii="Times New Roman" w:eastAsia="Times New Roman" w:hAnsi="Times New Roman"/>
          <w:sz w:val="24"/>
          <w:szCs w:val="24"/>
          <w:lang w:eastAsia="lt-LT"/>
        </w:rPr>
        <w:t xml:space="preserve">. </w:t>
      </w:r>
      <w:r w:rsidRPr="0090383C">
        <w:rPr>
          <w:rFonts w:ascii="Times New Roman" w:eastAsia="Times New Roman" w:hAnsi="Times New Roman"/>
          <w:sz w:val="24"/>
          <w:szCs w:val="24"/>
          <w:lang w:eastAsia="lt-LT"/>
        </w:rPr>
        <w:t>Šaltinis – Lietuvos statistikos departamentas</w:t>
      </w:r>
      <w:r w:rsidR="009746AC" w:rsidRPr="0090383C">
        <w:rPr>
          <w:rFonts w:ascii="Times New Roman" w:eastAsia="Times New Roman" w:hAnsi="Times New Roman"/>
          <w:sz w:val="24"/>
          <w:szCs w:val="24"/>
          <w:lang w:eastAsia="lt-LT"/>
        </w:rPr>
        <w:t xml:space="preserve"> </w:t>
      </w:r>
    </w:p>
    <w:p w:rsidR="00E334DA" w:rsidRPr="0090383C" w:rsidRDefault="00E334DA" w:rsidP="00E334DA">
      <w:pPr>
        <w:suppressAutoHyphens/>
        <w:jc w:val="both"/>
        <w:rPr>
          <w:rFonts w:ascii="Times New Roman" w:eastAsia="Times New Roman" w:hAnsi="Times New Roman"/>
          <w:sz w:val="24"/>
          <w:szCs w:val="24"/>
          <w:lang w:eastAsia="ar-SA"/>
        </w:rPr>
      </w:pPr>
      <w:r w:rsidRPr="0090383C">
        <w:rPr>
          <w:rFonts w:ascii="Times New Roman" w:eastAsia="Times New Roman" w:hAnsi="Times New Roman"/>
          <w:sz w:val="24"/>
          <w:szCs w:val="24"/>
          <w:lang w:eastAsia="ar-SA"/>
        </w:rPr>
        <w:tab/>
        <w:t>Viena iš gyventojų skaičiaus mažėjimo priežasčių yra neigiama natūrali kaita</w:t>
      </w:r>
      <w:r w:rsidR="00117618" w:rsidRPr="0090383C">
        <w:rPr>
          <w:rFonts w:ascii="Times New Roman" w:eastAsia="Times New Roman" w:hAnsi="Times New Roman"/>
          <w:sz w:val="24"/>
          <w:szCs w:val="24"/>
          <w:lang w:eastAsia="ar-SA"/>
        </w:rPr>
        <w:t>. K</w:t>
      </w:r>
      <w:r w:rsidRPr="0090383C">
        <w:rPr>
          <w:rFonts w:ascii="Times New Roman" w:eastAsia="Times New Roman" w:hAnsi="Times New Roman"/>
          <w:sz w:val="24"/>
          <w:szCs w:val="24"/>
          <w:lang w:eastAsia="ar-SA"/>
        </w:rPr>
        <w:t xml:space="preserve">ita ne mažiau svarbi gyventojų skaičiaus mažėjimo priežastis – migracijos procesas. Šalies mastu daugiau kalbama apie tarptautinę emigraciją, kai gyventojai išvyksta į užsienio šalis, tačiau Alytaus m. savivaldybės atveju svarbi yra ir vidinė migracija, kai gyventojai išvyksta į kitas Lietuvos teritorijas, dažniausiai kitus miestus, kur yra daugiau galimybių. </w:t>
      </w:r>
      <w:r w:rsidRPr="0090383C">
        <w:rPr>
          <w:rFonts w:ascii="Times New Roman" w:eastAsia="Times New Roman" w:hAnsi="Times New Roman"/>
          <w:sz w:val="24"/>
          <w:szCs w:val="20"/>
          <w:lang w:eastAsia="ar-SA"/>
        </w:rPr>
        <w:t xml:space="preserve"> </w:t>
      </w:r>
    </w:p>
    <w:p w:rsidR="00A81C80" w:rsidRPr="0090383C" w:rsidRDefault="00A81C80" w:rsidP="00A81C80">
      <w:pPr>
        <w:ind w:firstLine="1298"/>
        <w:jc w:val="both"/>
        <w:rPr>
          <w:rFonts w:ascii="Times New Roman" w:hAnsi="Times New Roman"/>
          <w:sz w:val="24"/>
          <w:szCs w:val="24"/>
          <w:lang w:eastAsia="lt-LT"/>
        </w:rPr>
      </w:pPr>
      <w:r w:rsidRPr="0090383C">
        <w:rPr>
          <w:rFonts w:ascii="Times New Roman" w:hAnsi="Times New Roman"/>
          <w:sz w:val="24"/>
          <w:szCs w:val="24"/>
          <w:lang w:eastAsia="lt-LT"/>
        </w:rPr>
        <w:t>Gyventojų netenkina gyvenimo kokybė miesto daugiabučių namų kvartaluose, kur dauguma namų yra energetiškai neefektyvūs, neestetiškos išvaizdos, viešųjų erdvių ir kiemų infrastruktūra susidėvėjusi ir nepatraukli, trūksta vietų automobiliams statyti.  Dėl to žmonės siekia susikurti naują gyvenimo kokybę individualių namų kvartaluose užmiestyje.</w:t>
      </w:r>
      <w:r w:rsidR="006D41C5" w:rsidRPr="0090383C">
        <w:rPr>
          <w:rFonts w:ascii="Times New Roman" w:hAnsi="Times New Roman"/>
          <w:sz w:val="24"/>
          <w:szCs w:val="24"/>
          <w:lang w:eastAsia="lt-LT"/>
        </w:rPr>
        <w:t xml:space="preserve"> </w:t>
      </w:r>
      <w:r w:rsidR="00AB505D" w:rsidRPr="0090383C">
        <w:rPr>
          <w:rFonts w:ascii="Times New Roman" w:hAnsi="Times New Roman"/>
          <w:sz w:val="24"/>
          <w:szCs w:val="24"/>
        </w:rPr>
        <w:t>Gyventojų skaičiaus mažėjimas susijęs su tam tikrais iššūkiais, nes mažėja vartotojų bazė ir teritorijos ekonominis aktyvumas, sunkiau išlaikyti ir gerinti gyvenimo lygį, užtikrinti užimtumą ir pajamas, daugėja socialinių problemų</w:t>
      </w:r>
      <w:r w:rsidR="00F873F0" w:rsidRPr="0090383C">
        <w:rPr>
          <w:rFonts w:ascii="Times New Roman" w:hAnsi="Times New Roman"/>
          <w:sz w:val="24"/>
          <w:szCs w:val="24"/>
        </w:rPr>
        <w:t>,</w:t>
      </w:r>
      <w:r w:rsidR="00AB505D" w:rsidRPr="0090383C">
        <w:rPr>
          <w:rFonts w:ascii="Times New Roman" w:hAnsi="Times New Roman"/>
          <w:sz w:val="24"/>
          <w:szCs w:val="24"/>
        </w:rPr>
        <w:t xml:space="preserve"> be to, didėja infrastruktūros išlaikymo </w:t>
      </w:r>
      <w:r w:rsidR="00F873F0" w:rsidRPr="0090383C">
        <w:rPr>
          <w:rFonts w:ascii="Times New Roman" w:hAnsi="Times New Roman"/>
          <w:sz w:val="24"/>
          <w:szCs w:val="24"/>
        </w:rPr>
        <w:t>išlaidos</w:t>
      </w:r>
      <w:r w:rsidR="00AB505D" w:rsidRPr="0090383C">
        <w:rPr>
          <w:rFonts w:ascii="Times New Roman" w:hAnsi="Times New Roman"/>
          <w:sz w:val="24"/>
          <w:szCs w:val="24"/>
        </w:rPr>
        <w:t xml:space="preserve"> (pvz.</w:t>
      </w:r>
      <w:r w:rsidR="00F873F0" w:rsidRPr="0090383C">
        <w:rPr>
          <w:rFonts w:ascii="Times New Roman" w:hAnsi="Times New Roman"/>
          <w:sz w:val="24"/>
          <w:szCs w:val="24"/>
        </w:rPr>
        <w:t>,</w:t>
      </w:r>
      <w:r w:rsidR="00AB505D" w:rsidRPr="0090383C">
        <w:rPr>
          <w:rFonts w:ascii="Times New Roman" w:hAnsi="Times New Roman"/>
          <w:sz w:val="24"/>
          <w:szCs w:val="24"/>
        </w:rPr>
        <w:t xml:space="preserve"> komunalinės paslaugos).</w:t>
      </w:r>
      <w:r w:rsidR="00AB505D" w:rsidRPr="0090383C">
        <w:rPr>
          <w:sz w:val="23"/>
          <w:szCs w:val="23"/>
        </w:rPr>
        <w:t xml:space="preserve"> </w:t>
      </w:r>
      <w:r w:rsidR="006D41C5" w:rsidRPr="0090383C">
        <w:rPr>
          <w:rFonts w:ascii="Times New Roman" w:hAnsi="Times New Roman"/>
          <w:sz w:val="24"/>
          <w:szCs w:val="24"/>
          <w:lang w:eastAsia="lt-LT"/>
        </w:rPr>
        <w:t>20</w:t>
      </w:r>
      <w:r w:rsidR="004877E7" w:rsidRPr="0090383C">
        <w:rPr>
          <w:rFonts w:ascii="Times New Roman" w:hAnsi="Times New Roman"/>
          <w:sz w:val="24"/>
          <w:szCs w:val="24"/>
          <w:lang w:eastAsia="lt-LT"/>
        </w:rPr>
        <w:t>19</w:t>
      </w:r>
      <w:r w:rsidR="00B6045F" w:rsidRPr="0090383C">
        <w:rPr>
          <w:rFonts w:ascii="Times New Roman" w:hAnsi="Times New Roman"/>
          <w:sz w:val="24"/>
          <w:szCs w:val="24"/>
          <w:lang w:eastAsia="lt-LT"/>
        </w:rPr>
        <w:t xml:space="preserve"> m.</w:t>
      </w:r>
      <w:r w:rsidR="00F873F0" w:rsidRPr="0090383C">
        <w:rPr>
          <w:rFonts w:ascii="Times New Roman" w:hAnsi="Times New Roman"/>
          <w:sz w:val="24"/>
          <w:szCs w:val="24"/>
          <w:lang w:eastAsia="lt-LT"/>
        </w:rPr>
        <w:t xml:space="preserve"> </w:t>
      </w:r>
      <w:r w:rsidR="004877E7" w:rsidRPr="0090383C">
        <w:rPr>
          <w:rFonts w:ascii="Times New Roman" w:hAnsi="Times New Roman"/>
          <w:sz w:val="24"/>
          <w:szCs w:val="24"/>
          <w:lang w:eastAsia="lt-LT"/>
        </w:rPr>
        <w:t>pradžioje mieste gyveno 61,7</w:t>
      </w:r>
      <w:r w:rsidR="006D41C5" w:rsidRPr="0090383C">
        <w:rPr>
          <w:rFonts w:ascii="Times New Roman" w:hAnsi="Times New Roman"/>
          <w:sz w:val="24"/>
          <w:szCs w:val="24"/>
          <w:lang w:eastAsia="lt-LT"/>
        </w:rPr>
        <w:t xml:space="preserve"> proc. darbingo amžiaus žmonių, </w:t>
      </w:r>
      <w:r w:rsidR="004877E7" w:rsidRPr="0090383C">
        <w:rPr>
          <w:rFonts w:ascii="Times New Roman" w:hAnsi="Times New Roman"/>
          <w:sz w:val="24"/>
          <w:szCs w:val="24"/>
          <w:lang w:eastAsia="lt-LT"/>
        </w:rPr>
        <w:t>24,5</w:t>
      </w:r>
      <w:r w:rsidR="006D41C5" w:rsidRPr="0090383C">
        <w:rPr>
          <w:rFonts w:ascii="Times New Roman" w:hAnsi="Times New Roman"/>
          <w:sz w:val="24"/>
          <w:szCs w:val="24"/>
          <w:lang w:eastAsia="lt-LT"/>
        </w:rPr>
        <w:t xml:space="preserve"> proc. pensinio amžiaus ir </w:t>
      </w:r>
      <w:r w:rsidR="004877E7" w:rsidRPr="0090383C">
        <w:rPr>
          <w:rFonts w:ascii="Times New Roman" w:hAnsi="Times New Roman"/>
          <w:sz w:val="24"/>
          <w:szCs w:val="24"/>
          <w:lang w:eastAsia="lt-LT"/>
        </w:rPr>
        <w:t>13,8</w:t>
      </w:r>
      <w:r w:rsidR="006D41C5" w:rsidRPr="0090383C">
        <w:rPr>
          <w:rFonts w:ascii="Times New Roman" w:hAnsi="Times New Roman"/>
          <w:sz w:val="24"/>
          <w:szCs w:val="24"/>
          <w:lang w:eastAsia="lt-LT"/>
        </w:rPr>
        <w:t xml:space="preserve"> proc. gyventojų iki 15 metų.</w:t>
      </w:r>
      <w:r w:rsidR="00AB505D" w:rsidRPr="0090383C">
        <w:rPr>
          <w:rFonts w:ascii="Times New Roman" w:hAnsi="Times New Roman"/>
          <w:sz w:val="24"/>
          <w:szCs w:val="24"/>
          <w:lang w:eastAsia="lt-LT"/>
        </w:rPr>
        <w:t xml:space="preserve"> </w:t>
      </w:r>
      <w:r w:rsidR="00AB505D" w:rsidRPr="0090383C">
        <w:rPr>
          <w:rFonts w:ascii="Times New Roman" w:hAnsi="Times New Roman"/>
          <w:sz w:val="24"/>
          <w:szCs w:val="24"/>
        </w:rPr>
        <w:t>Remiantis analizuojamais rodikliais</w:t>
      </w:r>
      <w:r w:rsidR="00F873F0" w:rsidRPr="0090383C">
        <w:rPr>
          <w:rFonts w:ascii="Times New Roman" w:hAnsi="Times New Roman"/>
          <w:sz w:val="24"/>
          <w:szCs w:val="24"/>
        </w:rPr>
        <w:t>,</w:t>
      </w:r>
      <w:r w:rsidR="00AB505D" w:rsidRPr="0090383C">
        <w:rPr>
          <w:rFonts w:ascii="Times New Roman" w:hAnsi="Times New Roman"/>
          <w:sz w:val="24"/>
          <w:szCs w:val="24"/>
        </w:rPr>
        <w:t xml:space="preserve"> Alytaus mieste yra dar pakankamai likusios jaunos darbo jėgos</w:t>
      </w:r>
      <w:r w:rsidR="00F873F0" w:rsidRPr="0090383C">
        <w:rPr>
          <w:rFonts w:ascii="Times New Roman" w:hAnsi="Times New Roman"/>
          <w:sz w:val="24"/>
          <w:szCs w:val="24"/>
        </w:rPr>
        <w:t xml:space="preserve"> – j</w:t>
      </w:r>
      <w:r w:rsidR="00AB505D" w:rsidRPr="0090383C">
        <w:rPr>
          <w:rFonts w:ascii="Times New Roman" w:hAnsi="Times New Roman"/>
          <w:sz w:val="24"/>
          <w:szCs w:val="24"/>
        </w:rPr>
        <w:t>ą būtina išlaikyti ar net padidinti, t. y. kelti Alytaus miesto gyventojų užimtumo lygį, keisti požiūrį į jaunąją kartą: infrastruktūros, verslumo, socialiniais, švietimo ir kt. klausimais. Gyventojų ekonominis užimtumas yra viena pagrindinių ekonominės gerovės ir plėtros prielaidų.</w:t>
      </w:r>
    </w:p>
    <w:p w:rsidR="00A81C80" w:rsidRPr="0090383C" w:rsidRDefault="00AB505D" w:rsidP="00973A2C">
      <w:pPr>
        <w:autoSpaceDE w:val="0"/>
        <w:autoSpaceDN w:val="0"/>
        <w:adjustRightInd w:val="0"/>
        <w:jc w:val="both"/>
        <w:rPr>
          <w:rFonts w:ascii="Times New Roman" w:eastAsiaTheme="minorHAnsi" w:hAnsi="Times New Roman"/>
          <w:sz w:val="24"/>
          <w:szCs w:val="24"/>
        </w:rPr>
      </w:pPr>
      <w:r w:rsidRPr="0090383C">
        <w:tab/>
      </w:r>
      <w:r w:rsidR="00A81C80" w:rsidRPr="0090383C">
        <w:rPr>
          <w:rFonts w:ascii="Times New Roman" w:hAnsi="Times New Roman"/>
          <w:sz w:val="24"/>
          <w:szCs w:val="24"/>
        </w:rPr>
        <w:t>Kita problema – senėjanti visuomenė. Keičiasi visuomenės struktūra – mažėja darbingo amžiaus</w:t>
      </w:r>
      <w:r w:rsidR="00F873F0" w:rsidRPr="0090383C">
        <w:rPr>
          <w:rFonts w:ascii="Times New Roman" w:hAnsi="Times New Roman"/>
          <w:sz w:val="24"/>
          <w:szCs w:val="24"/>
        </w:rPr>
        <w:t xml:space="preserve"> žmonių</w:t>
      </w:r>
      <w:r w:rsidR="00A81C80" w:rsidRPr="0090383C">
        <w:rPr>
          <w:rFonts w:ascii="Times New Roman" w:hAnsi="Times New Roman"/>
          <w:sz w:val="24"/>
          <w:szCs w:val="24"/>
        </w:rPr>
        <w:t>, vaikų, daugėja pensinio amžiaus žmonių. Demografinės senatvės koeficientas</w:t>
      </w:r>
      <w:r w:rsidR="00BD22C3" w:rsidRPr="0090383C">
        <w:rPr>
          <w:rFonts w:ascii="Times New Roman" w:eastAsiaTheme="minorHAnsi" w:hAnsi="Times New Roman"/>
          <w:sz w:val="24"/>
          <w:szCs w:val="24"/>
        </w:rPr>
        <w:t xml:space="preserve"> </w:t>
      </w:r>
      <w:r w:rsidR="00A81C80" w:rsidRPr="0090383C">
        <w:rPr>
          <w:rFonts w:ascii="Times New Roman" w:hAnsi="Times New Roman"/>
          <w:sz w:val="24"/>
          <w:szCs w:val="24"/>
        </w:rPr>
        <w:t xml:space="preserve"> rodo, kiek </w:t>
      </w:r>
      <w:r w:rsidR="00A81C80" w:rsidRPr="0090383C">
        <w:rPr>
          <w:rFonts w:ascii="Times New Roman" w:hAnsi="Times New Roman"/>
          <w:sz w:val="24"/>
          <w:szCs w:val="24"/>
          <w:shd w:val="clear" w:color="auto" w:fill="FFFFFF"/>
        </w:rPr>
        <w:t>pagyvenusių (65 metų ir vyresnio amžiaus) žmonių tenka šimtui vaikų iki 15 metų a</w:t>
      </w:r>
      <w:r w:rsidR="00E652A3" w:rsidRPr="0090383C">
        <w:rPr>
          <w:rFonts w:ascii="Times New Roman" w:hAnsi="Times New Roman"/>
          <w:sz w:val="24"/>
          <w:szCs w:val="24"/>
          <w:shd w:val="clear" w:color="auto" w:fill="FFFFFF"/>
        </w:rPr>
        <w:t>mžiaus – Alytaus mieste nuo 2015</w:t>
      </w:r>
      <w:r w:rsidR="00A81C80" w:rsidRPr="0090383C">
        <w:rPr>
          <w:rFonts w:ascii="Times New Roman" w:hAnsi="Times New Roman"/>
          <w:sz w:val="24"/>
          <w:szCs w:val="24"/>
          <w:shd w:val="clear" w:color="auto" w:fill="FFFFFF"/>
        </w:rPr>
        <w:t xml:space="preserve"> m. jis išaugo </w:t>
      </w:r>
      <w:r w:rsidR="00E652A3" w:rsidRPr="0090383C">
        <w:rPr>
          <w:rFonts w:ascii="Times New Roman" w:hAnsi="Times New Roman"/>
          <w:sz w:val="24"/>
          <w:szCs w:val="24"/>
          <w:shd w:val="clear" w:color="auto" w:fill="FFFFFF"/>
        </w:rPr>
        <w:t>25,4</w:t>
      </w:r>
      <w:r w:rsidR="00A81C80" w:rsidRPr="0090383C">
        <w:rPr>
          <w:rFonts w:ascii="Times New Roman" w:hAnsi="Times New Roman"/>
          <w:sz w:val="24"/>
          <w:szCs w:val="24"/>
          <w:shd w:val="clear" w:color="auto" w:fill="FFFFFF"/>
        </w:rPr>
        <w:t xml:space="preserve"> proc. (žr. 2 pav.).</w:t>
      </w:r>
      <w:r w:rsidR="00A81C80" w:rsidRPr="0090383C">
        <w:rPr>
          <w:rFonts w:ascii="Times New Roman" w:hAnsi="Times New Roman"/>
          <w:sz w:val="24"/>
          <w:szCs w:val="24"/>
        </w:rPr>
        <w:t xml:space="preserve"> Ši tendencija būdinga daugumai Europos šalių, ne išimtis yra Lietuva ir Alytaus miestas. Jauni žmonės išvyksta studijuoti ar dirbti į šalies sostinę, užsienio valstybes, nebegrįžta į gimtąjį miestą. Šalys ir miestai, kuriuose trūksta jaunimo, darbingo amžiaus žmonių, nėra patrauklūs investuotojams. Taip pat augant demografinės senatvės koeficiento reikšmei, svarbu miesto infrastruktūrą bei viešąsias paslaugas pritaikyti besikeičiančiai visuomenės struktūrai.</w:t>
      </w:r>
      <w:r w:rsidR="00973A2C" w:rsidRPr="0090383C">
        <w:rPr>
          <w:rFonts w:ascii="Times New Roman" w:hAnsi="Times New Roman"/>
          <w:sz w:val="24"/>
          <w:szCs w:val="24"/>
        </w:rPr>
        <w:t xml:space="preserve"> </w:t>
      </w:r>
      <w:r w:rsidR="00973A2C" w:rsidRPr="0090383C">
        <w:rPr>
          <w:rFonts w:ascii="Times New Roman" w:eastAsiaTheme="minorHAnsi" w:hAnsi="Times New Roman"/>
          <w:sz w:val="24"/>
          <w:szCs w:val="24"/>
        </w:rPr>
        <w:t xml:space="preserve">Siekdama organizuoti ir teikti kokybiškas socialines paslaugas gyventojams, savivaldybė sistemingai ir kompleksiškai vertina savivaldybės gyventojų </w:t>
      </w:r>
      <w:r w:rsidR="00F873F0" w:rsidRPr="0090383C">
        <w:rPr>
          <w:rFonts w:ascii="Times New Roman" w:eastAsiaTheme="minorHAnsi" w:hAnsi="Times New Roman"/>
          <w:sz w:val="24"/>
          <w:szCs w:val="24"/>
        </w:rPr>
        <w:t xml:space="preserve">socialinių paslaugų </w:t>
      </w:r>
      <w:r w:rsidR="00973A2C" w:rsidRPr="0090383C">
        <w:rPr>
          <w:rFonts w:ascii="Times New Roman" w:eastAsiaTheme="minorHAnsi" w:hAnsi="Times New Roman"/>
          <w:sz w:val="24"/>
          <w:szCs w:val="24"/>
        </w:rPr>
        <w:t>poreikius, planuoja realias jų plėtros apimtis bei etapus, nustato savivaldybės socialinių paslaugų sistemos plėtros prioritetus.</w:t>
      </w:r>
    </w:p>
    <w:p w:rsidR="001679D6" w:rsidRPr="0090383C" w:rsidRDefault="00331F31" w:rsidP="000F108F">
      <w:pPr>
        <w:spacing w:before="100" w:beforeAutospacing="1" w:after="100" w:afterAutospacing="1"/>
        <w:ind w:firstLine="709"/>
        <w:jc w:val="both"/>
        <w:rPr>
          <w:rFonts w:ascii="Times New Roman" w:eastAsia="Times New Roman" w:hAnsi="Times New Roman"/>
          <w:sz w:val="24"/>
          <w:szCs w:val="24"/>
          <w:lang w:eastAsia="lt-LT"/>
        </w:rPr>
      </w:pPr>
      <w:r w:rsidRPr="0090383C">
        <w:rPr>
          <w:noProof/>
          <w:lang w:eastAsia="lt-LT"/>
        </w:rPr>
        <w:lastRenderedPageBreak/>
        <w:drawing>
          <wp:inline distT="0" distB="0" distL="0" distR="0" wp14:anchorId="670DF070" wp14:editId="1CCDF093">
            <wp:extent cx="5038725" cy="2614613"/>
            <wp:effectExtent l="0" t="0" r="9525" b="1460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108F" w:rsidRPr="0090383C" w:rsidRDefault="001679D6" w:rsidP="000F108F">
      <w:pPr>
        <w:spacing w:before="100" w:beforeAutospacing="1" w:after="100" w:afterAutospacing="1"/>
        <w:ind w:firstLine="709"/>
        <w:jc w:val="both"/>
        <w:rPr>
          <w:rFonts w:ascii="Times New Roman" w:eastAsia="Times New Roman" w:hAnsi="Times New Roman"/>
          <w:sz w:val="24"/>
          <w:szCs w:val="24"/>
          <w:lang w:eastAsia="lt-LT"/>
        </w:rPr>
      </w:pPr>
      <w:r w:rsidRPr="0090383C">
        <w:rPr>
          <w:rFonts w:ascii="Times New Roman" w:hAnsi="Times New Roman"/>
          <w:sz w:val="24"/>
          <w:szCs w:val="24"/>
          <w:shd w:val="clear" w:color="auto" w:fill="FFFFFF"/>
          <w:lang w:eastAsia="lt-LT"/>
        </w:rPr>
        <w:tab/>
      </w:r>
      <w:r w:rsidR="00A81C80" w:rsidRPr="0090383C">
        <w:rPr>
          <w:rFonts w:ascii="Times New Roman" w:hAnsi="Times New Roman"/>
          <w:sz w:val="24"/>
          <w:szCs w:val="24"/>
          <w:shd w:val="clear" w:color="auto" w:fill="FFFFFF"/>
          <w:lang w:eastAsia="lt-LT"/>
        </w:rPr>
        <w:t>2 pav. Alytaus miesto demografinės senatv</w:t>
      </w:r>
      <w:r w:rsidR="00A86DA4" w:rsidRPr="0090383C">
        <w:rPr>
          <w:rFonts w:ascii="Times New Roman" w:hAnsi="Times New Roman"/>
          <w:sz w:val="24"/>
          <w:szCs w:val="24"/>
          <w:shd w:val="clear" w:color="auto" w:fill="FFFFFF"/>
          <w:lang w:eastAsia="lt-LT"/>
        </w:rPr>
        <w:t>ės koeficientas (65 metų ir vyresnio amžiaus</w:t>
      </w:r>
      <w:r w:rsidR="00A81C80" w:rsidRPr="0090383C">
        <w:rPr>
          <w:rFonts w:ascii="Times New Roman" w:hAnsi="Times New Roman"/>
          <w:sz w:val="24"/>
          <w:szCs w:val="24"/>
          <w:shd w:val="clear" w:color="auto" w:fill="FFFFFF"/>
          <w:lang w:eastAsia="lt-LT"/>
        </w:rPr>
        <w:t xml:space="preserve"> žmonių skaičius, tenkantis šimtui vaik</w:t>
      </w:r>
      <w:r w:rsidR="00E652A3" w:rsidRPr="0090383C">
        <w:rPr>
          <w:rFonts w:ascii="Times New Roman" w:hAnsi="Times New Roman"/>
          <w:sz w:val="24"/>
          <w:szCs w:val="24"/>
          <w:shd w:val="clear" w:color="auto" w:fill="FFFFFF"/>
          <w:lang w:eastAsia="lt-LT"/>
        </w:rPr>
        <w:t>ų iki 15 metų amžiaus) 2015–2019</w:t>
      </w:r>
      <w:r w:rsidR="00A81C80" w:rsidRPr="0090383C">
        <w:rPr>
          <w:rFonts w:ascii="Times New Roman" w:hAnsi="Times New Roman"/>
          <w:sz w:val="24"/>
          <w:szCs w:val="24"/>
          <w:shd w:val="clear" w:color="auto" w:fill="FFFFFF"/>
          <w:lang w:eastAsia="lt-LT"/>
        </w:rPr>
        <w:t xml:space="preserve"> m.</w:t>
      </w:r>
      <w:r w:rsidR="00A81C80" w:rsidRPr="0090383C">
        <w:rPr>
          <w:rFonts w:ascii="Times New Roman" w:hAnsi="Times New Roman"/>
          <w:sz w:val="24"/>
          <w:szCs w:val="24"/>
          <w:lang w:eastAsia="lt-LT"/>
        </w:rPr>
        <w:t xml:space="preserve"> Šaltinis – Lietuvos statistikos departamentas</w:t>
      </w:r>
    </w:p>
    <w:p w:rsidR="00F579F2" w:rsidRPr="0090383C" w:rsidRDefault="00A81C80" w:rsidP="00844AE7">
      <w:pPr>
        <w:spacing w:before="100" w:beforeAutospacing="1" w:after="100" w:afterAutospacing="1"/>
        <w:ind w:firstLine="709"/>
        <w:jc w:val="both"/>
        <w:rPr>
          <w:rFonts w:ascii="Times New Roman" w:eastAsia="Times New Roman" w:hAnsi="Times New Roman"/>
          <w:sz w:val="24"/>
          <w:szCs w:val="24"/>
          <w:lang w:eastAsia="lt-LT"/>
        </w:rPr>
      </w:pPr>
      <w:r w:rsidRPr="0090383C">
        <w:rPr>
          <w:rFonts w:ascii="Times New Roman" w:hAnsi="Times New Roman"/>
          <w:sz w:val="24"/>
          <w:szCs w:val="24"/>
        </w:rPr>
        <w:t xml:space="preserve">Dėl mažėjančio gyventojų skaičiaus mažėja ir mokinių skaičius. Iš 3 pav. matosi, </w:t>
      </w:r>
      <w:r w:rsidR="00966FC0" w:rsidRPr="0090383C">
        <w:rPr>
          <w:rFonts w:ascii="Times New Roman" w:hAnsi="Times New Roman"/>
          <w:bCs/>
          <w:sz w:val="24"/>
          <w:szCs w:val="24"/>
          <w:lang w:eastAsia="lt-LT"/>
        </w:rPr>
        <w:t>kad nuo 2015</w:t>
      </w:r>
      <w:r w:rsidRPr="0090383C">
        <w:rPr>
          <w:rFonts w:ascii="Times New Roman" w:hAnsi="Times New Roman"/>
          <w:bCs/>
          <w:sz w:val="24"/>
          <w:szCs w:val="24"/>
          <w:lang w:eastAsia="lt-LT"/>
        </w:rPr>
        <w:t xml:space="preserve"> m. mokinių skaičius mieste sumažėjo </w:t>
      </w:r>
      <w:r w:rsidR="00966FC0" w:rsidRPr="0090383C">
        <w:rPr>
          <w:rFonts w:ascii="Times New Roman" w:hAnsi="Times New Roman"/>
          <w:bCs/>
          <w:sz w:val="24"/>
          <w:szCs w:val="24"/>
          <w:lang w:eastAsia="lt-LT"/>
        </w:rPr>
        <w:t>614 mokinių</w:t>
      </w:r>
      <w:r w:rsidRPr="0090383C">
        <w:rPr>
          <w:rFonts w:ascii="Times New Roman" w:hAnsi="Times New Roman"/>
          <w:bCs/>
          <w:sz w:val="24"/>
          <w:szCs w:val="24"/>
          <w:lang w:eastAsia="lt-LT"/>
        </w:rPr>
        <w:t xml:space="preserve">, t. </w:t>
      </w:r>
      <w:r w:rsidR="00981EDB" w:rsidRPr="0090383C">
        <w:rPr>
          <w:rFonts w:ascii="Times New Roman" w:hAnsi="Times New Roman"/>
          <w:bCs/>
          <w:sz w:val="24"/>
          <w:szCs w:val="24"/>
          <w:lang w:eastAsia="lt-LT"/>
        </w:rPr>
        <w:t xml:space="preserve">y. </w:t>
      </w:r>
      <w:r w:rsidR="00867E3F" w:rsidRPr="0090383C">
        <w:rPr>
          <w:rFonts w:ascii="Times New Roman" w:hAnsi="Times New Roman"/>
          <w:bCs/>
          <w:sz w:val="24"/>
          <w:szCs w:val="24"/>
          <w:lang w:eastAsia="lt-LT"/>
        </w:rPr>
        <w:t xml:space="preserve">beveik 9 </w:t>
      </w:r>
      <w:r w:rsidRPr="0090383C">
        <w:rPr>
          <w:rFonts w:ascii="Times New Roman" w:hAnsi="Times New Roman"/>
          <w:bCs/>
          <w:sz w:val="24"/>
          <w:szCs w:val="24"/>
          <w:lang w:eastAsia="lt-LT"/>
        </w:rPr>
        <w:t>proc.</w:t>
      </w:r>
      <w:r w:rsidR="00EA7837" w:rsidRPr="0090383C">
        <w:rPr>
          <w:rFonts w:ascii="Times New Roman" w:hAnsi="Times New Roman"/>
          <w:bCs/>
          <w:sz w:val="24"/>
          <w:szCs w:val="24"/>
          <w:lang w:eastAsia="lt-LT"/>
        </w:rPr>
        <w:t xml:space="preserve"> </w:t>
      </w:r>
      <w:r w:rsidR="00A46936" w:rsidRPr="0090383C">
        <w:rPr>
          <w:rFonts w:ascii="Times New Roman" w:hAnsi="Times New Roman"/>
          <w:bCs/>
          <w:sz w:val="24"/>
          <w:szCs w:val="24"/>
          <w:lang w:eastAsia="lt-LT"/>
        </w:rPr>
        <w:t>l</w:t>
      </w:r>
      <w:r w:rsidR="00EA7837" w:rsidRPr="0090383C">
        <w:rPr>
          <w:rFonts w:ascii="Times New Roman" w:hAnsi="Times New Roman"/>
          <w:sz w:val="24"/>
          <w:szCs w:val="24"/>
        </w:rPr>
        <w:t xml:space="preserve">opšelių-darželių ir mokyklų-darželių ikimokyklinio </w:t>
      </w:r>
      <w:r w:rsidR="00A46936" w:rsidRPr="0090383C">
        <w:rPr>
          <w:rFonts w:ascii="Times New Roman" w:hAnsi="Times New Roman"/>
          <w:sz w:val="24"/>
          <w:szCs w:val="24"/>
        </w:rPr>
        <w:t>ugdymo grupėse ugdomi</w:t>
      </w:r>
      <w:r w:rsidR="00867E3F" w:rsidRPr="0090383C">
        <w:rPr>
          <w:rFonts w:ascii="Times New Roman" w:hAnsi="Times New Roman"/>
          <w:sz w:val="24"/>
          <w:szCs w:val="24"/>
        </w:rPr>
        <w:t xml:space="preserve"> </w:t>
      </w:r>
      <w:r w:rsidR="00966FC0" w:rsidRPr="0090383C">
        <w:rPr>
          <w:rFonts w:ascii="Times New Roman" w:hAnsi="Times New Roman"/>
          <w:sz w:val="24"/>
          <w:szCs w:val="24"/>
        </w:rPr>
        <w:t>2 624</w:t>
      </w:r>
      <w:r w:rsidR="00867E3F" w:rsidRPr="0090383C">
        <w:rPr>
          <w:rFonts w:ascii="Times New Roman" w:hAnsi="Times New Roman"/>
          <w:sz w:val="24"/>
          <w:szCs w:val="24"/>
        </w:rPr>
        <w:t xml:space="preserve"> vaikai,</w:t>
      </w:r>
      <w:r w:rsidR="00EA7837" w:rsidRPr="0090383C">
        <w:rPr>
          <w:rFonts w:ascii="Times New Roman" w:hAnsi="Times New Roman"/>
          <w:sz w:val="24"/>
          <w:szCs w:val="24"/>
        </w:rPr>
        <w:t xml:space="preserve"> prieš</w:t>
      </w:r>
      <w:r w:rsidR="00A46936" w:rsidRPr="0090383C">
        <w:rPr>
          <w:rFonts w:ascii="Times New Roman" w:hAnsi="Times New Roman"/>
          <w:sz w:val="24"/>
          <w:szCs w:val="24"/>
        </w:rPr>
        <w:t>mokyklinio ugdymo grupėse ugdomi</w:t>
      </w:r>
      <w:r w:rsidR="00EA7837" w:rsidRPr="0090383C">
        <w:rPr>
          <w:rFonts w:ascii="Times New Roman" w:hAnsi="Times New Roman"/>
          <w:sz w:val="24"/>
          <w:szCs w:val="24"/>
        </w:rPr>
        <w:t xml:space="preserve"> </w:t>
      </w:r>
      <w:r w:rsidR="00966FC0" w:rsidRPr="0090383C">
        <w:rPr>
          <w:rFonts w:ascii="Times New Roman" w:hAnsi="Times New Roman"/>
          <w:sz w:val="24"/>
          <w:szCs w:val="24"/>
        </w:rPr>
        <w:t>559</w:t>
      </w:r>
      <w:r w:rsidR="00867E3F" w:rsidRPr="0090383C">
        <w:rPr>
          <w:rFonts w:ascii="Times New Roman" w:hAnsi="Times New Roman"/>
          <w:sz w:val="24"/>
          <w:szCs w:val="24"/>
        </w:rPr>
        <w:t xml:space="preserve"> vaikai</w:t>
      </w:r>
      <w:r w:rsidR="00EA7837" w:rsidRPr="0090383C">
        <w:rPr>
          <w:rFonts w:ascii="Times New Roman" w:hAnsi="Times New Roman"/>
          <w:sz w:val="24"/>
          <w:szCs w:val="24"/>
        </w:rPr>
        <w:t>.</w:t>
      </w:r>
      <w:r w:rsidR="00EA7837" w:rsidRPr="0090383C">
        <w:rPr>
          <w:rFonts w:ascii="Times New Roman" w:hAnsi="Times New Roman"/>
          <w:color w:val="FF0000"/>
          <w:sz w:val="24"/>
          <w:szCs w:val="24"/>
        </w:rPr>
        <w:t xml:space="preserve"> </w:t>
      </w:r>
      <w:r w:rsidR="002961F9" w:rsidRPr="0090383C">
        <w:rPr>
          <w:rFonts w:ascii="Times New Roman" w:hAnsi="Times New Roman"/>
          <w:bCs/>
          <w:sz w:val="24"/>
          <w:szCs w:val="24"/>
          <w:lang w:eastAsia="lt-LT"/>
        </w:rPr>
        <w:t xml:space="preserve">Iš kitų savivaldybių mokyklose mokosi </w:t>
      </w:r>
      <w:r w:rsidR="00966FC0" w:rsidRPr="0090383C">
        <w:rPr>
          <w:rFonts w:ascii="Times New Roman" w:hAnsi="Times New Roman"/>
          <w:bCs/>
          <w:sz w:val="24"/>
          <w:szCs w:val="24"/>
          <w:lang w:eastAsia="lt-LT"/>
        </w:rPr>
        <w:t>1 294</w:t>
      </w:r>
      <w:r w:rsidR="002961F9" w:rsidRPr="0090383C">
        <w:rPr>
          <w:rFonts w:ascii="Times New Roman" w:hAnsi="Times New Roman"/>
          <w:bCs/>
          <w:sz w:val="24"/>
          <w:szCs w:val="24"/>
          <w:lang w:eastAsia="lt-LT"/>
        </w:rPr>
        <w:t xml:space="preserve"> mokini</w:t>
      </w:r>
      <w:r w:rsidR="00E63AFA" w:rsidRPr="0090383C">
        <w:rPr>
          <w:rFonts w:ascii="Times New Roman" w:hAnsi="Times New Roman"/>
          <w:bCs/>
          <w:sz w:val="24"/>
          <w:szCs w:val="24"/>
          <w:lang w:eastAsia="lt-LT"/>
        </w:rPr>
        <w:t>ai</w:t>
      </w:r>
      <w:r w:rsidR="00593422" w:rsidRPr="0090383C">
        <w:rPr>
          <w:rFonts w:ascii="Times New Roman" w:hAnsi="Times New Roman"/>
          <w:bCs/>
          <w:sz w:val="24"/>
          <w:szCs w:val="24"/>
          <w:lang w:eastAsia="lt-LT"/>
        </w:rPr>
        <w:t>,</w:t>
      </w:r>
      <w:r w:rsidR="00593422" w:rsidRPr="0090383C">
        <w:rPr>
          <w:rFonts w:ascii="Times New Roman" w:hAnsi="Times New Roman"/>
          <w:bCs/>
          <w:color w:val="FF0000"/>
          <w:sz w:val="24"/>
          <w:szCs w:val="24"/>
          <w:lang w:eastAsia="lt-LT"/>
        </w:rPr>
        <w:t xml:space="preserve"> </w:t>
      </w:r>
      <w:r w:rsidR="00593422" w:rsidRPr="0090383C">
        <w:rPr>
          <w:rFonts w:ascii="Times New Roman" w:hAnsi="Times New Roman"/>
          <w:bCs/>
          <w:sz w:val="24"/>
          <w:szCs w:val="24"/>
          <w:lang w:eastAsia="lt-LT"/>
        </w:rPr>
        <w:t xml:space="preserve">ikimokyklinėse įstaigose – </w:t>
      </w:r>
      <w:r w:rsidR="00B054E5" w:rsidRPr="0090383C">
        <w:rPr>
          <w:rFonts w:ascii="Times New Roman" w:hAnsi="Times New Roman"/>
          <w:bCs/>
          <w:sz w:val="24"/>
          <w:szCs w:val="24"/>
          <w:lang w:eastAsia="lt-LT"/>
        </w:rPr>
        <w:t>669</w:t>
      </w:r>
      <w:r w:rsidR="00593422" w:rsidRPr="0090383C">
        <w:rPr>
          <w:rFonts w:ascii="Times New Roman" w:hAnsi="Times New Roman"/>
          <w:bCs/>
          <w:sz w:val="24"/>
          <w:szCs w:val="24"/>
          <w:lang w:eastAsia="lt-LT"/>
        </w:rPr>
        <w:t xml:space="preserve"> vaikai, neformaliojo švietimo įstaigose (Alytaus </w:t>
      </w:r>
      <w:r w:rsidR="00E63AFA" w:rsidRPr="0090383C">
        <w:rPr>
          <w:rFonts w:ascii="Times New Roman" w:hAnsi="Times New Roman"/>
          <w:bCs/>
          <w:sz w:val="24"/>
          <w:szCs w:val="24"/>
          <w:lang w:eastAsia="lt-LT"/>
        </w:rPr>
        <w:t>j</w:t>
      </w:r>
      <w:r w:rsidR="00593422" w:rsidRPr="0090383C">
        <w:rPr>
          <w:rFonts w:ascii="Times New Roman" w:hAnsi="Times New Roman"/>
          <w:bCs/>
          <w:sz w:val="24"/>
          <w:szCs w:val="24"/>
          <w:lang w:eastAsia="lt-LT"/>
        </w:rPr>
        <w:t xml:space="preserve">aunimo centras, </w:t>
      </w:r>
      <w:r w:rsidR="00E63AFA" w:rsidRPr="0090383C">
        <w:rPr>
          <w:rFonts w:ascii="Times New Roman" w:hAnsi="Times New Roman"/>
          <w:bCs/>
          <w:sz w:val="24"/>
          <w:szCs w:val="24"/>
          <w:lang w:eastAsia="lt-LT"/>
        </w:rPr>
        <w:t>M</w:t>
      </w:r>
      <w:r w:rsidR="00593422" w:rsidRPr="0090383C">
        <w:rPr>
          <w:rFonts w:ascii="Times New Roman" w:hAnsi="Times New Roman"/>
          <w:bCs/>
          <w:sz w:val="24"/>
          <w:szCs w:val="24"/>
          <w:lang w:eastAsia="lt-LT"/>
        </w:rPr>
        <w:t xml:space="preserve">uzikos mokykla, </w:t>
      </w:r>
      <w:r w:rsidR="00E63AFA" w:rsidRPr="0090383C">
        <w:rPr>
          <w:rFonts w:ascii="Times New Roman" w:hAnsi="Times New Roman"/>
          <w:bCs/>
          <w:sz w:val="24"/>
          <w:szCs w:val="24"/>
          <w:lang w:eastAsia="lt-LT"/>
        </w:rPr>
        <w:t>D</w:t>
      </w:r>
      <w:r w:rsidR="00593422" w:rsidRPr="0090383C">
        <w:rPr>
          <w:rFonts w:ascii="Times New Roman" w:hAnsi="Times New Roman"/>
          <w:bCs/>
          <w:sz w:val="24"/>
          <w:szCs w:val="24"/>
          <w:lang w:eastAsia="lt-LT"/>
        </w:rPr>
        <w:t xml:space="preserve">ailės mokykla) – </w:t>
      </w:r>
      <w:r w:rsidR="00966FC0" w:rsidRPr="0090383C">
        <w:rPr>
          <w:rFonts w:ascii="Times New Roman" w:hAnsi="Times New Roman"/>
          <w:bCs/>
          <w:sz w:val="24"/>
          <w:szCs w:val="24"/>
          <w:lang w:eastAsia="lt-LT"/>
        </w:rPr>
        <w:t>179</w:t>
      </w:r>
      <w:r w:rsidR="00593422" w:rsidRPr="0090383C">
        <w:rPr>
          <w:rFonts w:ascii="Times New Roman" w:hAnsi="Times New Roman"/>
          <w:bCs/>
          <w:sz w:val="24"/>
          <w:szCs w:val="24"/>
          <w:lang w:eastAsia="lt-LT"/>
        </w:rPr>
        <w:t xml:space="preserve"> v</w:t>
      </w:r>
      <w:r w:rsidR="000F108F" w:rsidRPr="0090383C">
        <w:rPr>
          <w:rFonts w:ascii="Times New Roman" w:hAnsi="Times New Roman"/>
          <w:bCs/>
          <w:sz w:val="24"/>
          <w:szCs w:val="24"/>
          <w:lang w:eastAsia="lt-LT"/>
        </w:rPr>
        <w:t>aikai.</w:t>
      </w:r>
    </w:p>
    <w:p w:rsidR="001679D6" w:rsidRPr="0090383C" w:rsidRDefault="00966FC0" w:rsidP="00966FC0">
      <w:pPr>
        <w:ind w:firstLine="851"/>
        <w:rPr>
          <w:rFonts w:ascii="Times New Roman" w:hAnsi="Times New Roman"/>
          <w:bCs/>
          <w:sz w:val="24"/>
          <w:szCs w:val="24"/>
          <w:lang w:eastAsia="lt-LT"/>
        </w:rPr>
      </w:pPr>
      <w:r w:rsidRPr="0090383C">
        <w:rPr>
          <w:noProof/>
          <w:lang w:eastAsia="lt-LT"/>
        </w:rPr>
        <w:drawing>
          <wp:inline distT="0" distB="0" distL="0" distR="0" wp14:anchorId="239302DB" wp14:editId="59E16206">
            <wp:extent cx="5181600" cy="1957387"/>
            <wp:effectExtent l="0" t="0" r="19050" b="2413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81C80" w:rsidRPr="0090383C">
        <w:rPr>
          <w:rFonts w:ascii="Times New Roman" w:hAnsi="Times New Roman"/>
          <w:bCs/>
          <w:sz w:val="24"/>
          <w:szCs w:val="24"/>
          <w:lang w:eastAsia="lt-LT"/>
        </w:rPr>
        <w:tab/>
      </w:r>
    </w:p>
    <w:p w:rsidR="00A81C80" w:rsidRPr="0090383C" w:rsidRDefault="001679D6" w:rsidP="00AD3BA9">
      <w:pPr>
        <w:autoSpaceDE w:val="0"/>
        <w:autoSpaceDN w:val="0"/>
        <w:adjustRightInd w:val="0"/>
        <w:jc w:val="center"/>
        <w:rPr>
          <w:rFonts w:ascii="Times New Roman" w:hAnsi="Times New Roman"/>
          <w:sz w:val="24"/>
          <w:szCs w:val="24"/>
          <w:lang w:eastAsia="lt-LT"/>
        </w:rPr>
      </w:pPr>
      <w:r w:rsidRPr="0090383C">
        <w:rPr>
          <w:rFonts w:ascii="Times New Roman" w:hAnsi="Times New Roman"/>
          <w:bCs/>
          <w:sz w:val="24"/>
          <w:szCs w:val="24"/>
          <w:lang w:eastAsia="lt-LT"/>
        </w:rPr>
        <w:tab/>
      </w:r>
      <w:r w:rsidR="00A81C80" w:rsidRPr="0090383C">
        <w:rPr>
          <w:rFonts w:ascii="Times New Roman" w:hAnsi="Times New Roman"/>
          <w:bCs/>
          <w:sz w:val="24"/>
          <w:szCs w:val="24"/>
          <w:lang w:eastAsia="lt-LT"/>
        </w:rPr>
        <w:t xml:space="preserve">3 pav. Mokinių skaičius Alytaus mieste. </w:t>
      </w:r>
      <w:r w:rsidR="00A81C80" w:rsidRPr="0090383C">
        <w:rPr>
          <w:rFonts w:ascii="Times New Roman" w:hAnsi="Times New Roman"/>
          <w:sz w:val="24"/>
          <w:szCs w:val="24"/>
          <w:lang w:eastAsia="lt-LT"/>
        </w:rPr>
        <w:t>Šaltinis – savivaldybės administracijos Švietimo skyrius</w:t>
      </w:r>
    </w:p>
    <w:p w:rsidR="0096734A" w:rsidRPr="0090383C" w:rsidRDefault="00A81C80" w:rsidP="00A81C80">
      <w:pPr>
        <w:pStyle w:val="Default"/>
        <w:jc w:val="both"/>
        <w:rPr>
          <w:rFonts w:eastAsia="Times New Roman"/>
          <w:color w:val="auto"/>
        </w:rPr>
      </w:pPr>
      <w:r w:rsidRPr="0090383C">
        <w:rPr>
          <w:rFonts w:eastAsia="Times New Roman"/>
          <w:color w:val="auto"/>
        </w:rPr>
        <w:tab/>
      </w:r>
    </w:p>
    <w:p w:rsidR="008640A3" w:rsidRPr="003341E9" w:rsidRDefault="0096734A" w:rsidP="008640A3">
      <w:pPr>
        <w:autoSpaceDE w:val="0"/>
        <w:autoSpaceDN w:val="0"/>
        <w:adjustRightInd w:val="0"/>
        <w:jc w:val="both"/>
        <w:rPr>
          <w:rFonts w:ascii="Times New Roman" w:eastAsia="Times New Roman" w:hAnsi="Times New Roman"/>
          <w:color w:val="000000" w:themeColor="text1"/>
          <w:sz w:val="24"/>
          <w:szCs w:val="24"/>
        </w:rPr>
      </w:pPr>
      <w:r w:rsidRPr="0090383C">
        <w:rPr>
          <w:rFonts w:eastAsia="Times New Roman"/>
        </w:rPr>
        <w:tab/>
      </w:r>
      <w:r w:rsidR="005D7253" w:rsidRPr="0090383C">
        <w:rPr>
          <w:rFonts w:ascii="Times New Roman" w:eastAsia="Times New Roman" w:hAnsi="Times New Roman"/>
          <w:b/>
          <w:sz w:val="24"/>
          <w:szCs w:val="24"/>
        </w:rPr>
        <w:t>Makroekonomika.</w:t>
      </w:r>
      <w:r w:rsidR="005D7253" w:rsidRPr="0090383C">
        <w:rPr>
          <w:rFonts w:ascii="Times New Roman" w:eastAsia="Times New Roman" w:hAnsi="Times New Roman"/>
          <w:sz w:val="24"/>
          <w:szCs w:val="24"/>
        </w:rPr>
        <w:t xml:space="preserve"> </w:t>
      </w:r>
      <w:r w:rsidR="00965C39" w:rsidRPr="0090383C">
        <w:rPr>
          <w:rFonts w:ascii="Times New Roman" w:eastAsia="Times New Roman" w:hAnsi="Times New Roman"/>
          <w:sz w:val="24"/>
          <w:szCs w:val="24"/>
        </w:rPr>
        <w:t>Alytaus apskrities bendr</w:t>
      </w:r>
      <w:r w:rsidR="00AB5C5E" w:rsidRPr="0090383C">
        <w:rPr>
          <w:rFonts w:ascii="Times New Roman" w:eastAsia="Times New Roman" w:hAnsi="Times New Roman"/>
          <w:sz w:val="24"/>
          <w:szCs w:val="24"/>
        </w:rPr>
        <w:t>asis vidaus produktas (BVP) 2017</w:t>
      </w:r>
      <w:r w:rsidR="00965C39" w:rsidRPr="0090383C">
        <w:rPr>
          <w:rFonts w:ascii="Times New Roman" w:eastAsia="Times New Roman" w:hAnsi="Times New Roman"/>
          <w:sz w:val="24"/>
          <w:szCs w:val="24"/>
        </w:rPr>
        <w:t xml:space="preserve"> m. siekė 1</w:t>
      </w:r>
      <w:r w:rsidR="00DD00DF" w:rsidRPr="0090383C">
        <w:rPr>
          <w:rFonts w:ascii="Times New Roman" w:eastAsia="Times New Roman" w:hAnsi="Times New Roman"/>
          <w:sz w:val="24"/>
          <w:szCs w:val="24"/>
        </w:rPr>
        <w:t xml:space="preserve"> </w:t>
      </w:r>
      <w:r w:rsidR="00AB5C5E" w:rsidRPr="0090383C">
        <w:rPr>
          <w:rFonts w:ascii="Times New Roman" w:eastAsia="Times New Roman" w:hAnsi="Times New Roman"/>
          <w:sz w:val="24"/>
          <w:szCs w:val="24"/>
        </w:rPr>
        <w:t>309,7</w:t>
      </w:r>
      <w:r w:rsidR="00965C39" w:rsidRPr="0090383C">
        <w:rPr>
          <w:rFonts w:ascii="Times New Roman" w:eastAsia="Times New Roman" w:hAnsi="Times New Roman"/>
          <w:sz w:val="24"/>
          <w:szCs w:val="24"/>
        </w:rPr>
        <w:t xml:space="preserve"> mln. eurų ir sudarė 3</w:t>
      </w:r>
      <w:r w:rsidR="00BC702A" w:rsidRPr="0090383C">
        <w:rPr>
          <w:rFonts w:ascii="Times New Roman" w:eastAsia="Times New Roman" w:hAnsi="Times New Roman"/>
          <w:sz w:val="24"/>
          <w:szCs w:val="24"/>
        </w:rPr>
        <w:t>,1</w:t>
      </w:r>
      <w:r w:rsidR="00965C39" w:rsidRPr="0090383C">
        <w:rPr>
          <w:rFonts w:ascii="Times New Roman" w:eastAsia="Times New Roman" w:hAnsi="Times New Roman"/>
          <w:sz w:val="24"/>
          <w:szCs w:val="24"/>
        </w:rPr>
        <w:t xml:space="preserve"> proc. viso šalie</w:t>
      </w:r>
      <w:r w:rsidR="00AD3BA9" w:rsidRPr="0090383C">
        <w:rPr>
          <w:rFonts w:ascii="Times New Roman" w:eastAsia="Times New Roman" w:hAnsi="Times New Roman"/>
          <w:sz w:val="24"/>
          <w:szCs w:val="24"/>
        </w:rPr>
        <w:t>s</w:t>
      </w:r>
      <w:r w:rsidR="00965C39" w:rsidRPr="0090383C">
        <w:rPr>
          <w:rFonts w:ascii="Times New Roman" w:eastAsia="Times New Roman" w:hAnsi="Times New Roman"/>
          <w:sz w:val="24"/>
          <w:szCs w:val="24"/>
        </w:rPr>
        <w:t xml:space="preserve"> BVP. </w:t>
      </w:r>
      <w:r w:rsidR="00A81C80" w:rsidRPr="003341E9">
        <w:rPr>
          <w:rFonts w:ascii="Times New Roman" w:eastAsia="Times New Roman" w:hAnsi="Times New Roman"/>
          <w:color w:val="000000" w:themeColor="text1"/>
          <w:sz w:val="24"/>
          <w:szCs w:val="24"/>
        </w:rPr>
        <w:t xml:space="preserve">Tiesioginių užsienio investicijų (TUI) dydis, tenkantis vienam gyventojui, per pastaruosius penkerius </w:t>
      </w:r>
      <w:r w:rsidR="00420A79" w:rsidRPr="003341E9">
        <w:rPr>
          <w:rFonts w:ascii="Times New Roman" w:eastAsia="Times New Roman" w:hAnsi="Times New Roman"/>
          <w:color w:val="000000" w:themeColor="text1"/>
          <w:sz w:val="24"/>
          <w:szCs w:val="24"/>
        </w:rPr>
        <w:t xml:space="preserve">metus </w:t>
      </w:r>
      <w:r w:rsidR="00E06861" w:rsidRPr="003341E9">
        <w:rPr>
          <w:rFonts w:ascii="Times New Roman" w:eastAsia="Times New Roman" w:hAnsi="Times New Roman"/>
          <w:color w:val="000000" w:themeColor="text1"/>
          <w:sz w:val="24"/>
          <w:szCs w:val="24"/>
        </w:rPr>
        <w:t>kilo. 2017 m.</w:t>
      </w:r>
      <w:r w:rsidR="00A81C80" w:rsidRPr="003341E9">
        <w:rPr>
          <w:rFonts w:ascii="Times New Roman" w:eastAsia="Times New Roman" w:hAnsi="Times New Roman"/>
          <w:color w:val="000000" w:themeColor="text1"/>
          <w:sz w:val="24"/>
          <w:szCs w:val="24"/>
        </w:rPr>
        <w:t xml:space="preserve"> vienam Alytaus miesto gyventojui teko </w:t>
      </w:r>
      <w:r w:rsidR="006F57D3" w:rsidRPr="003341E9">
        <w:rPr>
          <w:rFonts w:ascii="Times New Roman" w:eastAsia="Times New Roman" w:hAnsi="Times New Roman"/>
          <w:color w:val="000000" w:themeColor="text1"/>
          <w:sz w:val="24"/>
          <w:szCs w:val="24"/>
        </w:rPr>
        <w:t>1</w:t>
      </w:r>
      <w:r w:rsidR="00DD00DF" w:rsidRPr="003341E9">
        <w:rPr>
          <w:rFonts w:ascii="Times New Roman" w:eastAsia="Times New Roman" w:hAnsi="Times New Roman"/>
          <w:color w:val="000000" w:themeColor="text1"/>
          <w:sz w:val="24"/>
          <w:szCs w:val="24"/>
        </w:rPr>
        <w:t xml:space="preserve"> </w:t>
      </w:r>
      <w:r w:rsidR="00A97118" w:rsidRPr="003341E9">
        <w:rPr>
          <w:rFonts w:ascii="Times New Roman" w:eastAsia="Times New Roman" w:hAnsi="Times New Roman"/>
          <w:color w:val="000000" w:themeColor="text1"/>
          <w:sz w:val="24"/>
          <w:szCs w:val="24"/>
        </w:rPr>
        <w:t>500</w:t>
      </w:r>
      <w:r w:rsidR="00A81C80" w:rsidRPr="003341E9">
        <w:rPr>
          <w:rFonts w:ascii="Times New Roman" w:eastAsia="Times New Roman" w:hAnsi="Times New Roman"/>
          <w:color w:val="000000" w:themeColor="text1"/>
          <w:sz w:val="24"/>
          <w:szCs w:val="24"/>
        </w:rPr>
        <w:t xml:space="preserve"> Eur TUI (4 pav.). Tai yra gana žemas rodi</w:t>
      </w:r>
      <w:r w:rsidR="006F57D3" w:rsidRPr="003341E9">
        <w:rPr>
          <w:rFonts w:ascii="Times New Roman" w:eastAsia="Times New Roman" w:hAnsi="Times New Roman"/>
          <w:color w:val="000000" w:themeColor="text1"/>
          <w:sz w:val="24"/>
          <w:szCs w:val="24"/>
        </w:rPr>
        <w:t xml:space="preserve">klis (Lietuvos Respublikoje – </w:t>
      </w:r>
      <w:r w:rsidR="00506674" w:rsidRPr="003341E9">
        <w:rPr>
          <w:rFonts w:ascii="Times New Roman" w:eastAsia="Times New Roman" w:hAnsi="Times New Roman"/>
          <w:color w:val="000000" w:themeColor="text1"/>
          <w:sz w:val="24"/>
          <w:szCs w:val="24"/>
        </w:rPr>
        <w:t>5 275</w:t>
      </w:r>
      <w:r w:rsidR="00A81C80" w:rsidRPr="003341E9">
        <w:rPr>
          <w:rFonts w:ascii="Times New Roman" w:eastAsia="Times New Roman" w:hAnsi="Times New Roman"/>
          <w:color w:val="000000" w:themeColor="text1"/>
          <w:sz w:val="24"/>
          <w:szCs w:val="24"/>
        </w:rPr>
        <w:t xml:space="preserve"> Eur</w:t>
      </w:r>
      <w:r w:rsidR="006F57D3" w:rsidRPr="003341E9">
        <w:rPr>
          <w:rFonts w:ascii="Times New Roman" w:eastAsia="Times New Roman" w:hAnsi="Times New Roman"/>
          <w:color w:val="000000" w:themeColor="text1"/>
          <w:sz w:val="24"/>
          <w:szCs w:val="24"/>
        </w:rPr>
        <w:t>, Panevėžyje – 2</w:t>
      </w:r>
      <w:r w:rsidR="00DD00DF" w:rsidRPr="003341E9">
        <w:rPr>
          <w:rFonts w:ascii="Times New Roman" w:eastAsia="Times New Roman" w:hAnsi="Times New Roman"/>
          <w:color w:val="000000" w:themeColor="text1"/>
          <w:sz w:val="24"/>
          <w:szCs w:val="24"/>
        </w:rPr>
        <w:t xml:space="preserve"> </w:t>
      </w:r>
      <w:r w:rsidR="00A97118" w:rsidRPr="003341E9">
        <w:rPr>
          <w:rFonts w:ascii="Times New Roman" w:eastAsia="Times New Roman" w:hAnsi="Times New Roman"/>
          <w:color w:val="000000" w:themeColor="text1"/>
          <w:sz w:val="24"/>
          <w:szCs w:val="24"/>
        </w:rPr>
        <w:t>926</w:t>
      </w:r>
      <w:r w:rsidR="00A81C80" w:rsidRPr="003341E9">
        <w:rPr>
          <w:rFonts w:ascii="Times New Roman" w:eastAsia="Times New Roman" w:hAnsi="Times New Roman"/>
          <w:color w:val="000000" w:themeColor="text1"/>
          <w:sz w:val="24"/>
          <w:szCs w:val="24"/>
        </w:rPr>
        <w:t xml:space="preserve"> Eur</w:t>
      </w:r>
      <w:r w:rsidR="006F57D3" w:rsidRPr="003341E9">
        <w:rPr>
          <w:rFonts w:ascii="Times New Roman" w:eastAsia="Times New Roman" w:hAnsi="Times New Roman"/>
          <w:color w:val="000000" w:themeColor="text1"/>
          <w:sz w:val="24"/>
          <w:szCs w:val="24"/>
        </w:rPr>
        <w:t xml:space="preserve">, Klaipėdoje – </w:t>
      </w:r>
      <w:r w:rsidR="00A97118" w:rsidRPr="003341E9">
        <w:rPr>
          <w:rFonts w:ascii="Times New Roman" w:eastAsia="Times New Roman" w:hAnsi="Times New Roman"/>
          <w:color w:val="000000" w:themeColor="text1"/>
          <w:sz w:val="24"/>
          <w:szCs w:val="24"/>
        </w:rPr>
        <w:t>6 122</w:t>
      </w:r>
      <w:r w:rsidR="00A81C80" w:rsidRPr="003341E9">
        <w:rPr>
          <w:rFonts w:ascii="Times New Roman" w:eastAsia="Times New Roman" w:hAnsi="Times New Roman"/>
          <w:color w:val="000000" w:themeColor="text1"/>
          <w:sz w:val="24"/>
          <w:szCs w:val="24"/>
        </w:rPr>
        <w:t xml:space="preserve"> Eur</w:t>
      </w:r>
      <w:r w:rsidR="006F57D3" w:rsidRPr="003341E9">
        <w:rPr>
          <w:rFonts w:ascii="Times New Roman" w:eastAsia="Times New Roman" w:hAnsi="Times New Roman"/>
          <w:color w:val="000000" w:themeColor="text1"/>
          <w:sz w:val="24"/>
          <w:szCs w:val="24"/>
        </w:rPr>
        <w:t xml:space="preserve">, </w:t>
      </w:r>
      <w:r w:rsidR="00D4582C" w:rsidRPr="003341E9">
        <w:rPr>
          <w:rFonts w:ascii="Times New Roman" w:eastAsia="Times New Roman" w:hAnsi="Times New Roman"/>
          <w:color w:val="000000" w:themeColor="text1"/>
          <w:sz w:val="24"/>
          <w:szCs w:val="24"/>
        </w:rPr>
        <w:t>Kaune – 4</w:t>
      </w:r>
      <w:r w:rsidR="00DD00DF" w:rsidRPr="003341E9">
        <w:rPr>
          <w:rFonts w:ascii="Times New Roman" w:eastAsia="Times New Roman" w:hAnsi="Times New Roman"/>
          <w:color w:val="000000" w:themeColor="text1"/>
          <w:sz w:val="24"/>
          <w:szCs w:val="24"/>
        </w:rPr>
        <w:t xml:space="preserve"> </w:t>
      </w:r>
      <w:r w:rsidR="00A97118" w:rsidRPr="003341E9">
        <w:rPr>
          <w:rFonts w:ascii="Times New Roman" w:eastAsia="Times New Roman" w:hAnsi="Times New Roman"/>
          <w:color w:val="000000" w:themeColor="text1"/>
          <w:sz w:val="24"/>
          <w:szCs w:val="24"/>
        </w:rPr>
        <w:t>212</w:t>
      </w:r>
      <w:r w:rsidR="00D4582C" w:rsidRPr="003341E9">
        <w:rPr>
          <w:rFonts w:ascii="Times New Roman" w:eastAsia="Times New Roman" w:hAnsi="Times New Roman"/>
          <w:color w:val="000000" w:themeColor="text1"/>
          <w:sz w:val="24"/>
          <w:szCs w:val="24"/>
        </w:rPr>
        <w:t xml:space="preserve"> Eur, </w:t>
      </w:r>
      <w:r w:rsidR="006F57D3" w:rsidRPr="003341E9">
        <w:rPr>
          <w:rFonts w:ascii="Times New Roman" w:eastAsia="Times New Roman" w:hAnsi="Times New Roman"/>
          <w:color w:val="000000" w:themeColor="text1"/>
          <w:sz w:val="24"/>
          <w:szCs w:val="24"/>
        </w:rPr>
        <w:t xml:space="preserve">Druskininkuose – </w:t>
      </w:r>
      <w:r w:rsidR="00E06861" w:rsidRPr="003341E9">
        <w:rPr>
          <w:rFonts w:ascii="Times New Roman" w:eastAsia="Times New Roman" w:hAnsi="Times New Roman"/>
          <w:color w:val="000000" w:themeColor="text1"/>
          <w:sz w:val="24"/>
          <w:szCs w:val="24"/>
        </w:rPr>
        <w:t>2 139</w:t>
      </w:r>
      <w:r w:rsidR="00A81C80" w:rsidRPr="003341E9">
        <w:rPr>
          <w:rFonts w:ascii="Times New Roman" w:eastAsia="Times New Roman" w:hAnsi="Times New Roman"/>
          <w:color w:val="000000" w:themeColor="text1"/>
          <w:sz w:val="24"/>
          <w:szCs w:val="24"/>
        </w:rPr>
        <w:t xml:space="preserve"> Eur</w:t>
      </w:r>
      <w:r w:rsidR="002961F9" w:rsidRPr="003341E9">
        <w:rPr>
          <w:rFonts w:ascii="Times New Roman" w:eastAsia="Times New Roman" w:hAnsi="Times New Roman"/>
          <w:color w:val="000000" w:themeColor="text1"/>
          <w:sz w:val="24"/>
          <w:szCs w:val="24"/>
        </w:rPr>
        <w:t xml:space="preserve">, </w:t>
      </w:r>
      <w:r w:rsidR="00A97118" w:rsidRPr="003341E9">
        <w:rPr>
          <w:rFonts w:ascii="Times New Roman" w:eastAsia="Times New Roman" w:hAnsi="Times New Roman"/>
          <w:color w:val="000000" w:themeColor="text1"/>
          <w:sz w:val="24"/>
          <w:szCs w:val="24"/>
        </w:rPr>
        <w:t>Šiauliuose</w:t>
      </w:r>
      <w:r w:rsidR="002961F9" w:rsidRPr="003341E9">
        <w:rPr>
          <w:rFonts w:ascii="Times New Roman" w:eastAsia="Times New Roman" w:hAnsi="Times New Roman"/>
          <w:color w:val="000000" w:themeColor="text1"/>
          <w:sz w:val="24"/>
          <w:szCs w:val="24"/>
        </w:rPr>
        <w:t xml:space="preserve"> – </w:t>
      </w:r>
      <w:r w:rsidR="00A97118" w:rsidRPr="003341E9">
        <w:rPr>
          <w:rFonts w:ascii="Times New Roman" w:eastAsia="Times New Roman" w:hAnsi="Times New Roman"/>
          <w:color w:val="000000" w:themeColor="text1"/>
          <w:sz w:val="24"/>
          <w:szCs w:val="24"/>
        </w:rPr>
        <w:t>1 383</w:t>
      </w:r>
      <w:r w:rsidR="00094504" w:rsidRPr="003341E9">
        <w:rPr>
          <w:rFonts w:ascii="Times New Roman" w:eastAsia="Times New Roman" w:hAnsi="Times New Roman"/>
          <w:color w:val="000000" w:themeColor="text1"/>
          <w:sz w:val="24"/>
          <w:szCs w:val="24"/>
        </w:rPr>
        <w:t xml:space="preserve"> Eur</w:t>
      </w:r>
      <w:r w:rsidR="00BE7F68" w:rsidRPr="003341E9">
        <w:rPr>
          <w:rFonts w:ascii="Times New Roman" w:eastAsia="Times New Roman" w:hAnsi="Times New Roman"/>
          <w:color w:val="000000" w:themeColor="text1"/>
          <w:sz w:val="24"/>
          <w:szCs w:val="24"/>
        </w:rPr>
        <w:t>.</w:t>
      </w:r>
      <w:r w:rsidR="002961F9" w:rsidRPr="003341E9">
        <w:rPr>
          <w:rFonts w:ascii="Times New Roman" w:eastAsia="Times New Roman" w:hAnsi="Times New Roman"/>
          <w:color w:val="000000" w:themeColor="text1"/>
          <w:sz w:val="24"/>
          <w:szCs w:val="24"/>
        </w:rPr>
        <w:t xml:space="preserve"> </w:t>
      </w:r>
    </w:p>
    <w:p w:rsidR="008640A3" w:rsidRPr="0090383C" w:rsidRDefault="008640A3" w:rsidP="008640A3">
      <w:pPr>
        <w:autoSpaceDE w:val="0"/>
        <w:autoSpaceDN w:val="0"/>
        <w:adjustRightInd w:val="0"/>
        <w:jc w:val="both"/>
        <w:rPr>
          <w:rFonts w:ascii="Times New Roman" w:eastAsiaTheme="minorHAnsi" w:hAnsi="Times New Roman"/>
          <w:sz w:val="24"/>
          <w:szCs w:val="24"/>
        </w:rPr>
      </w:pPr>
      <w:r w:rsidRPr="003341E9">
        <w:rPr>
          <w:rFonts w:ascii="Times New Roman" w:eastAsia="Times New Roman" w:hAnsi="Times New Roman"/>
          <w:color w:val="000000" w:themeColor="text1"/>
          <w:sz w:val="24"/>
          <w:szCs w:val="24"/>
        </w:rPr>
        <w:tab/>
      </w:r>
      <w:r w:rsidR="002961F9" w:rsidRPr="003341E9">
        <w:rPr>
          <w:rFonts w:ascii="Times New Roman" w:eastAsia="Times New Roman" w:hAnsi="Times New Roman"/>
          <w:color w:val="000000" w:themeColor="text1"/>
          <w:sz w:val="24"/>
          <w:szCs w:val="24"/>
        </w:rPr>
        <w:t xml:space="preserve"> </w:t>
      </w:r>
      <w:r w:rsidRPr="003341E9">
        <w:rPr>
          <w:rFonts w:ascii="Times New Roman" w:eastAsiaTheme="minorHAnsi" w:hAnsi="Times New Roman"/>
          <w:color w:val="000000" w:themeColor="text1"/>
          <w:sz w:val="24"/>
          <w:szCs w:val="24"/>
        </w:rPr>
        <w:t>Siekiant dar labiau didinti savivaldybės patr</w:t>
      </w:r>
      <w:r w:rsidRPr="0090383C">
        <w:rPr>
          <w:rFonts w:ascii="Times New Roman" w:eastAsiaTheme="minorHAnsi" w:hAnsi="Times New Roman"/>
          <w:sz w:val="24"/>
          <w:szCs w:val="24"/>
        </w:rPr>
        <w:t>auklumą vidaus ir užsienio investicijoms,</w:t>
      </w:r>
    </w:p>
    <w:p w:rsidR="00A81C80" w:rsidRPr="0090383C" w:rsidRDefault="008640A3" w:rsidP="008640A3">
      <w:pPr>
        <w:autoSpaceDE w:val="0"/>
        <w:autoSpaceDN w:val="0"/>
        <w:adjustRightInd w:val="0"/>
        <w:jc w:val="both"/>
        <w:rPr>
          <w:rFonts w:ascii="Times New Roman" w:eastAsiaTheme="minorHAnsi" w:hAnsi="Times New Roman"/>
          <w:sz w:val="24"/>
          <w:szCs w:val="24"/>
        </w:rPr>
      </w:pPr>
      <w:r w:rsidRPr="0090383C">
        <w:rPr>
          <w:rFonts w:ascii="Times New Roman" w:eastAsiaTheme="minorHAnsi" w:hAnsi="Times New Roman"/>
          <w:sz w:val="24"/>
          <w:szCs w:val="24"/>
        </w:rPr>
        <w:t xml:space="preserve">Alytaus miesto savivaldybėje numatytos įmonių investicijas skatinančios paramos priemonės. Tolesnis </w:t>
      </w:r>
      <w:r w:rsidR="00A46936" w:rsidRPr="0090383C">
        <w:rPr>
          <w:rFonts w:ascii="Times New Roman" w:eastAsiaTheme="minorHAnsi" w:hAnsi="Times New Roman"/>
          <w:sz w:val="24"/>
          <w:szCs w:val="24"/>
        </w:rPr>
        <w:t xml:space="preserve">miesto </w:t>
      </w:r>
      <w:r w:rsidRPr="0090383C">
        <w:rPr>
          <w:rFonts w:ascii="Times New Roman" w:eastAsiaTheme="minorHAnsi" w:hAnsi="Times New Roman"/>
          <w:sz w:val="24"/>
          <w:szCs w:val="24"/>
        </w:rPr>
        <w:t>infrastruktūros gerinimas prisidės prie bendro</w:t>
      </w:r>
      <w:r w:rsidR="00A46936" w:rsidRPr="0090383C">
        <w:rPr>
          <w:rFonts w:ascii="Times New Roman" w:eastAsiaTheme="minorHAnsi" w:hAnsi="Times New Roman"/>
          <w:sz w:val="24"/>
          <w:szCs w:val="24"/>
        </w:rPr>
        <w:t>s</w:t>
      </w:r>
      <w:r w:rsidRPr="0090383C">
        <w:rPr>
          <w:rFonts w:ascii="Times New Roman" w:eastAsiaTheme="minorHAnsi" w:hAnsi="Times New Roman"/>
          <w:sz w:val="24"/>
          <w:szCs w:val="24"/>
        </w:rPr>
        <w:t xml:space="preserve"> rinkos </w:t>
      </w:r>
      <w:r w:rsidR="00A46936" w:rsidRPr="0090383C">
        <w:rPr>
          <w:rFonts w:ascii="Times New Roman" w:eastAsiaTheme="minorHAnsi" w:hAnsi="Times New Roman"/>
          <w:sz w:val="24"/>
          <w:szCs w:val="24"/>
        </w:rPr>
        <w:t>raidos ir augimo</w:t>
      </w:r>
      <w:r w:rsidRPr="0090383C">
        <w:rPr>
          <w:rFonts w:ascii="Times New Roman" w:eastAsiaTheme="minorHAnsi" w:hAnsi="Times New Roman"/>
          <w:sz w:val="24"/>
          <w:szCs w:val="24"/>
        </w:rPr>
        <w:t xml:space="preserve">, </w:t>
      </w:r>
      <w:r w:rsidR="00A46936" w:rsidRPr="0090383C">
        <w:rPr>
          <w:rFonts w:ascii="Times New Roman" w:eastAsiaTheme="minorHAnsi" w:hAnsi="Times New Roman"/>
          <w:sz w:val="24"/>
          <w:szCs w:val="24"/>
        </w:rPr>
        <w:t>tai</w:t>
      </w:r>
      <w:r w:rsidRPr="0090383C">
        <w:rPr>
          <w:rFonts w:ascii="Times New Roman" w:eastAsiaTheme="minorHAnsi" w:hAnsi="Times New Roman"/>
          <w:sz w:val="24"/>
          <w:szCs w:val="24"/>
        </w:rPr>
        <w:t xml:space="preserve"> leis ne tik toliau mažinti nedarbo lygį savivaldybėje, bet ir kelti dirbančiųjų kvalifikaciją</w:t>
      </w:r>
      <w:r w:rsidR="001560F6" w:rsidRPr="0090383C">
        <w:rPr>
          <w:rFonts w:ascii="Times New Roman" w:eastAsiaTheme="minorHAnsi" w:hAnsi="Times New Roman"/>
          <w:sz w:val="24"/>
          <w:szCs w:val="24"/>
        </w:rPr>
        <w:t>.</w:t>
      </w:r>
    </w:p>
    <w:p w:rsidR="001560F6" w:rsidRPr="0090383C" w:rsidRDefault="001560F6" w:rsidP="008640A3">
      <w:pPr>
        <w:autoSpaceDE w:val="0"/>
        <w:autoSpaceDN w:val="0"/>
        <w:adjustRightInd w:val="0"/>
        <w:jc w:val="both"/>
        <w:rPr>
          <w:rFonts w:ascii="Times New Roman" w:eastAsiaTheme="minorHAnsi" w:hAnsi="Times New Roman"/>
          <w:sz w:val="24"/>
          <w:szCs w:val="24"/>
        </w:rPr>
      </w:pPr>
    </w:p>
    <w:p w:rsidR="001679D6" w:rsidRPr="0090383C" w:rsidRDefault="001560F6" w:rsidP="00A81C80">
      <w:pPr>
        <w:pStyle w:val="Default"/>
        <w:jc w:val="both"/>
        <w:rPr>
          <w:rFonts w:eastAsia="Times New Roman"/>
          <w:color w:val="auto"/>
        </w:rPr>
      </w:pPr>
      <w:r w:rsidRPr="00EC6817">
        <w:rPr>
          <w:noProof/>
        </w:rPr>
        <w:lastRenderedPageBreak/>
        <w:drawing>
          <wp:inline distT="0" distB="0" distL="0" distR="0" wp14:anchorId="530E2BCD" wp14:editId="61B32B51">
            <wp:extent cx="5186362" cy="1905000"/>
            <wp:effectExtent l="0" t="0" r="14605" b="1905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1C80" w:rsidRPr="0090383C" w:rsidRDefault="001679D6" w:rsidP="00A81C80">
      <w:pPr>
        <w:pStyle w:val="Default"/>
        <w:jc w:val="both"/>
        <w:rPr>
          <w:rFonts w:eastAsia="Times New Roman"/>
          <w:color w:val="auto"/>
        </w:rPr>
      </w:pPr>
      <w:r w:rsidRPr="0090383C">
        <w:rPr>
          <w:rFonts w:eastAsia="Times New Roman"/>
          <w:color w:val="auto"/>
        </w:rPr>
        <w:tab/>
      </w:r>
      <w:r w:rsidR="00AD3BA9" w:rsidRPr="0090383C">
        <w:rPr>
          <w:rFonts w:eastAsia="Times New Roman"/>
          <w:color w:val="auto"/>
        </w:rPr>
        <w:t xml:space="preserve">4 pav. </w:t>
      </w:r>
      <w:r w:rsidR="00A81C80" w:rsidRPr="0090383C">
        <w:rPr>
          <w:rFonts w:eastAsia="Times New Roman"/>
          <w:color w:val="auto"/>
        </w:rPr>
        <w:t>Tiesioginės užsienio investicij</w:t>
      </w:r>
      <w:r w:rsidR="002C66D2" w:rsidRPr="0090383C">
        <w:rPr>
          <w:rFonts w:eastAsia="Times New Roman"/>
          <w:color w:val="auto"/>
        </w:rPr>
        <w:t>os, tenkančios 1 gyventojui 2014</w:t>
      </w:r>
      <w:r w:rsidR="00D4582C" w:rsidRPr="0090383C">
        <w:rPr>
          <w:rFonts w:eastAsia="Times New Roman"/>
          <w:color w:val="auto"/>
        </w:rPr>
        <w:t>–201</w:t>
      </w:r>
      <w:r w:rsidR="00A97118" w:rsidRPr="0090383C">
        <w:rPr>
          <w:rFonts w:eastAsia="Times New Roman"/>
          <w:color w:val="auto"/>
        </w:rPr>
        <w:t>7</w:t>
      </w:r>
      <w:r w:rsidR="00BE7F68" w:rsidRPr="0090383C">
        <w:rPr>
          <w:rFonts w:eastAsia="Times New Roman"/>
          <w:color w:val="auto"/>
        </w:rPr>
        <w:t xml:space="preserve"> m. </w:t>
      </w:r>
      <w:r w:rsidR="00A81C80" w:rsidRPr="0090383C">
        <w:rPr>
          <w:rFonts w:eastAsia="Times New Roman"/>
          <w:color w:val="auto"/>
        </w:rPr>
        <w:t>Eur</w:t>
      </w:r>
    </w:p>
    <w:p w:rsidR="00CB0509" w:rsidRPr="0090383C" w:rsidRDefault="00653A48" w:rsidP="00653A48">
      <w:pPr>
        <w:pStyle w:val="Default"/>
        <w:jc w:val="both"/>
        <w:rPr>
          <w:rFonts w:eastAsia="Times New Roman"/>
          <w:color w:val="auto"/>
        </w:rPr>
      </w:pPr>
      <w:r w:rsidRPr="0090383C">
        <w:rPr>
          <w:rFonts w:eastAsia="Times New Roman"/>
          <w:color w:val="auto"/>
        </w:rPr>
        <w:tab/>
      </w:r>
    </w:p>
    <w:p w:rsidR="00653A48" w:rsidRPr="0090383C" w:rsidRDefault="00CB0509" w:rsidP="00653A48">
      <w:pPr>
        <w:pStyle w:val="Default"/>
        <w:jc w:val="both"/>
        <w:rPr>
          <w:rFonts w:eastAsia="Times New Roman"/>
          <w:color w:val="auto"/>
        </w:rPr>
      </w:pPr>
      <w:r w:rsidRPr="0090383C">
        <w:rPr>
          <w:rFonts w:eastAsia="Times New Roman"/>
          <w:color w:val="auto"/>
        </w:rPr>
        <w:tab/>
      </w:r>
      <w:r w:rsidR="00653A48" w:rsidRPr="0090383C">
        <w:rPr>
          <w:rFonts w:eastAsia="Times New Roman"/>
          <w:color w:val="auto"/>
        </w:rPr>
        <w:t xml:space="preserve">Materialinės investicijos mieste </w:t>
      </w:r>
      <w:r w:rsidR="004455DC" w:rsidRPr="0090383C">
        <w:rPr>
          <w:rFonts w:eastAsia="Times New Roman"/>
          <w:color w:val="auto"/>
        </w:rPr>
        <w:t>2018</w:t>
      </w:r>
      <w:r w:rsidR="00A46936" w:rsidRPr="0090383C">
        <w:rPr>
          <w:rFonts w:eastAsia="Times New Roman"/>
          <w:color w:val="auto"/>
        </w:rPr>
        <w:t xml:space="preserve"> m.</w:t>
      </w:r>
      <w:r w:rsidR="001560F6" w:rsidRPr="0090383C">
        <w:rPr>
          <w:rFonts w:eastAsia="Times New Roman"/>
          <w:color w:val="auto"/>
        </w:rPr>
        <w:t xml:space="preserve"> padidėjo</w:t>
      </w:r>
      <w:r w:rsidR="00653A48" w:rsidRPr="0090383C">
        <w:rPr>
          <w:rFonts w:eastAsia="Times New Roman"/>
          <w:color w:val="auto"/>
        </w:rPr>
        <w:t xml:space="preserve"> (žr. 5 pav.). </w:t>
      </w:r>
      <w:r w:rsidR="001560F6" w:rsidRPr="0090383C">
        <w:rPr>
          <w:rFonts w:eastAsia="Times New Roman"/>
          <w:color w:val="auto"/>
        </w:rPr>
        <w:t>Tačiau t</w:t>
      </w:r>
      <w:r w:rsidR="00653A48" w:rsidRPr="0090383C">
        <w:rPr>
          <w:rFonts w:eastAsia="Times New Roman"/>
          <w:color w:val="auto"/>
        </w:rPr>
        <w:t xml:space="preserve">ai gana žemas rodiklis (Lietuvos Respublikoje – </w:t>
      </w:r>
      <w:r w:rsidR="004455DC" w:rsidRPr="0090383C">
        <w:rPr>
          <w:rFonts w:eastAsia="Times New Roman"/>
          <w:color w:val="auto"/>
        </w:rPr>
        <w:t>7 967,1</w:t>
      </w:r>
      <w:r w:rsidR="00653A48" w:rsidRPr="0090383C">
        <w:rPr>
          <w:rFonts w:eastAsia="Times New Roman"/>
          <w:color w:val="auto"/>
        </w:rPr>
        <w:t xml:space="preserve"> </w:t>
      </w:r>
      <w:r w:rsidR="00AF530A" w:rsidRPr="0090383C">
        <w:rPr>
          <w:rFonts w:eastAsia="Times New Roman"/>
          <w:color w:val="auto"/>
        </w:rPr>
        <w:t xml:space="preserve">tūkst. </w:t>
      </w:r>
      <w:r w:rsidR="00892B83" w:rsidRPr="0090383C">
        <w:rPr>
          <w:rFonts w:eastAsia="Times New Roman"/>
          <w:color w:val="auto"/>
        </w:rPr>
        <w:t xml:space="preserve">Eur, Panevėžyje – </w:t>
      </w:r>
      <w:r w:rsidR="004455DC" w:rsidRPr="0090383C">
        <w:rPr>
          <w:rFonts w:eastAsia="Times New Roman"/>
          <w:color w:val="auto"/>
        </w:rPr>
        <w:t>198,9</w:t>
      </w:r>
      <w:r w:rsidR="00AF530A" w:rsidRPr="0090383C">
        <w:rPr>
          <w:rFonts w:eastAsia="Times New Roman"/>
          <w:color w:val="auto"/>
        </w:rPr>
        <w:t xml:space="preserve"> tūkst.</w:t>
      </w:r>
      <w:r w:rsidR="00653A48" w:rsidRPr="0090383C">
        <w:rPr>
          <w:rFonts w:eastAsia="Times New Roman"/>
          <w:color w:val="auto"/>
        </w:rPr>
        <w:t xml:space="preserve"> Eur, Klaipėdoje – </w:t>
      </w:r>
      <w:r w:rsidR="004455DC" w:rsidRPr="0090383C">
        <w:rPr>
          <w:rFonts w:eastAsia="Times New Roman"/>
          <w:color w:val="auto"/>
        </w:rPr>
        <w:t>547,00</w:t>
      </w:r>
      <w:r w:rsidR="00AF530A" w:rsidRPr="0090383C">
        <w:rPr>
          <w:rFonts w:eastAsia="Times New Roman"/>
          <w:color w:val="auto"/>
        </w:rPr>
        <w:t xml:space="preserve"> tūkst. </w:t>
      </w:r>
      <w:r w:rsidR="00653A48" w:rsidRPr="0090383C">
        <w:rPr>
          <w:rFonts w:eastAsia="Times New Roman"/>
          <w:color w:val="auto"/>
        </w:rPr>
        <w:t xml:space="preserve">Eur, </w:t>
      </w:r>
      <w:r w:rsidR="009B37E3" w:rsidRPr="0090383C">
        <w:rPr>
          <w:rFonts w:eastAsia="Times New Roman"/>
          <w:color w:val="auto"/>
        </w:rPr>
        <w:t>Kaune</w:t>
      </w:r>
      <w:r w:rsidR="00653A48" w:rsidRPr="0090383C">
        <w:rPr>
          <w:rFonts w:eastAsia="Times New Roman"/>
          <w:color w:val="auto"/>
        </w:rPr>
        <w:t xml:space="preserve"> – </w:t>
      </w:r>
      <w:r w:rsidR="004455DC" w:rsidRPr="0090383C">
        <w:rPr>
          <w:rFonts w:eastAsia="Times New Roman"/>
          <w:color w:val="auto"/>
        </w:rPr>
        <w:t>950,7</w:t>
      </w:r>
      <w:r w:rsidR="00AF530A" w:rsidRPr="0090383C">
        <w:rPr>
          <w:rFonts w:eastAsia="Times New Roman"/>
          <w:color w:val="auto"/>
        </w:rPr>
        <w:t xml:space="preserve"> tūkst.</w:t>
      </w:r>
      <w:r w:rsidR="00653A48" w:rsidRPr="0090383C">
        <w:rPr>
          <w:rFonts w:eastAsia="Times New Roman"/>
          <w:color w:val="auto"/>
        </w:rPr>
        <w:t xml:space="preserve"> Eur, Marijampolėje – </w:t>
      </w:r>
      <w:r w:rsidR="004455DC" w:rsidRPr="0090383C">
        <w:rPr>
          <w:rFonts w:eastAsia="Times New Roman"/>
          <w:color w:val="auto"/>
        </w:rPr>
        <w:t>130,8</w:t>
      </w:r>
      <w:r w:rsidR="00AF530A" w:rsidRPr="0090383C">
        <w:rPr>
          <w:rFonts w:eastAsia="Times New Roman"/>
          <w:color w:val="auto"/>
        </w:rPr>
        <w:t xml:space="preserve"> tūkst.</w:t>
      </w:r>
      <w:r w:rsidR="00653A48" w:rsidRPr="0090383C">
        <w:rPr>
          <w:rFonts w:eastAsia="Times New Roman"/>
          <w:color w:val="auto"/>
        </w:rPr>
        <w:t xml:space="preserve"> Eur, </w:t>
      </w:r>
      <w:r w:rsidR="00892B83" w:rsidRPr="0090383C">
        <w:rPr>
          <w:rFonts w:eastAsia="Times New Roman"/>
          <w:color w:val="auto"/>
        </w:rPr>
        <w:t>Šiauliuose</w:t>
      </w:r>
      <w:r w:rsidR="00653A48" w:rsidRPr="0090383C">
        <w:rPr>
          <w:rFonts w:eastAsia="Times New Roman"/>
          <w:color w:val="auto"/>
        </w:rPr>
        <w:t xml:space="preserve"> – </w:t>
      </w:r>
      <w:r w:rsidR="004455DC" w:rsidRPr="0090383C">
        <w:rPr>
          <w:rFonts w:eastAsia="Times New Roman"/>
          <w:color w:val="auto"/>
        </w:rPr>
        <w:t>278,7</w:t>
      </w:r>
      <w:r w:rsidR="00AF530A" w:rsidRPr="0090383C">
        <w:rPr>
          <w:rFonts w:eastAsia="Times New Roman"/>
          <w:color w:val="auto"/>
        </w:rPr>
        <w:t xml:space="preserve"> tūkst.</w:t>
      </w:r>
      <w:r w:rsidR="009B37E3" w:rsidRPr="0090383C">
        <w:rPr>
          <w:rFonts w:eastAsia="Times New Roman"/>
          <w:color w:val="auto"/>
        </w:rPr>
        <w:t xml:space="preserve"> Eur</w:t>
      </w:r>
      <w:r w:rsidR="00653A48" w:rsidRPr="0090383C">
        <w:rPr>
          <w:rFonts w:eastAsia="Times New Roman"/>
          <w:color w:val="auto"/>
        </w:rPr>
        <w:t>).</w:t>
      </w:r>
    </w:p>
    <w:p w:rsidR="00AF530A" w:rsidRPr="0090383C" w:rsidRDefault="00AF530A" w:rsidP="00653A48">
      <w:pPr>
        <w:pStyle w:val="Default"/>
        <w:jc w:val="both"/>
        <w:rPr>
          <w:rFonts w:eastAsia="Times New Roman"/>
          <w:color w:val="auto"/>
        </w:rPr>
      </w:pPr>
    </w:p>
    <w:p w:rsidR="001679D6" w:rsidRPr="0090383C" w:rsidRDefault="00653A48" w:rsidP="00A81C80">
      <w:pPr>
        <w:pStyle w:val="Default"/>
        <w:jc w:val="both"/>
        <w:rPr>
          <w:rFonts w:eastAsia="Times New Roman"/>
          <w:color w:val="auto"/>
        </w:rPr>
      </w:pPr>
      <w:r w:rsidRPr="0090383C">
        <w:rPr>
          <w:rFonts w:eastAsia="Times New Roman"/>
          <w:color w:val="auto"/>
        </w:rPr>
        <w:t xml:space="preserve"> </w:t>
      </w:r>
      <w:r w:rsidR="00CB2FFA" w:rsidRPr="00EC6817">
        <w:rPr>
          <w:noProof/>
        </w:rPr>
        <w:drawing>
          <wp:inline distT="0" distB="0" distL="0" distR="0" wp14:anchorId="3191A615" wp14:editId="3B9D3D6F">
            <wp:extent cx="5729287" cy="2443162"/>
            <wp:effectExtent l="0" t="0" r="24130" b="1460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0383C">
        <w:rPr>
          <w:rFonts w:eastAsia="Times New Roman"/>
          <w:color w:val="auto"/>
        </w:rPr>
        <w:t xml:space="preserve"> </w:t>
      </w:r>
    </w:p>
    <w:p w:rsidR="00653A48" w:rsidRPr="0090383C" w:rsidRDefault="001679D6" w:rsidP="00A81C80">
      <w:pPr>
        <w:pStyle w:val="Default"/>
        <w:jc w:val="both"/>
        <w:rPr>
          <w:rFonts w:eastAsia="Times New Roman"/>
          <w:color w:val="auto"/>
        </w:rPr>
      </w:pPr>
      <w:r w:rsidRPr="0090383C">
        <w:rPr>
          <w:rFonts w:eastAsia="Times New Roman"/>
          <w:color w:val="auto"/>
        </w:rPr>
        <w:tab/>
      </w:r>
      <w:r w:rsidR="00AF530A" w:rsidRPr="0090383C">
        <w:rPr>
          <w:rFonts w:eastAsia="Times New Roman"/>
          <w:color w:val="auto"/>
        </w:rPr>
        <w:t xml:space="preserve">5 pav. Materialinės </w:t>
      </w:r>
      <w:r w:rsidR="00CB2FFA" w:rsidRPr="0090383C">
        <w:rPr>
          <w:rFonts w:eastAsia="Times New Roman"/>
          <w:color w:val="auto"/>
        </w:rPr>
        <w:t>investicijos Alytaus mieste 2015–2018</w:t>
      </w:r>
      <w:r w:rsidR="00AF530A" w:rsidRPr="0090383C">
        <w:rPr>
          <w:rFonts w:eastAsia="Times New Roman"/>
          <w:color w:val="auto"/>
        </w:rPr>
        <w:t xml:space="preserve"> m. tūkst. Eur</w:t>
      </w:r>
    </w:p>
    <w:p w:rsidR="002C66D2" w:rsidRPr="0090383C" w:rsidRDefault="002C66D2" w:rsidP="00A81C80">
      <w:pPr>
        <w:pStyle w:val="Default"/>
        <w:jc w:val="both"/>
        <w:rPr>
          <w:rFonts w:eastAsia="Times New Roman"/>
          <w:color w:val="auto"/>
        </w:rPr>
      </w:pPr>
    </w:p>
    <w:p w:rsidR="002C66D2" w:rsidRPr="0090383C" w:rsidRDefault="00A81C80" w:rsidP="002C66D2">
      <w:pPr>
        <w:pStyle w:val="Default"/>
        <w:jc w:val="both"/>
        <w:rPr>
          <w:rFonts w:eastAsia="Times New Roman"/>
          <w:color w:val="auto"/>
        </w:rPr>
      </w:pPr>
      <w:r w:rsidRPr="0090383C">
        <w:rPr>
          <w:rFonts w:eastAsia="Times New Roman"/>
          <w:color w:val="auto"/>
        </w:rPr>
        <w:tab/>
      </w:r>
      <w:r w:rsidR="00331F31" w:rsidRPr="0090383C">
        <w:rPr>
          <w:rFonts w:eastAsia="Times New Roman"/>
          <w:color w:val="auto"/>
        </w:rPr>
        <w:t>Užimtumo lygis (darbingo amžiaus gyventojų užimtumas) mieste nežymiai mažėja ir siekia  66,1</w:t>
      </w:r>
      <w:r w:rsidR="0003634D" w:rsidRPr="0090383C">
        <w:rPr>
          <w:rFonts w:eastAsia="Times New Roman"/>
          <w:color w:val="auto"/>
        </w:rPr>
        <w:t xml:space="preserve"> proc</w:t>
      </w:r>
      <w:r w:rsidR="00331F31" w:rsidRPr="0090383C">
        <w:rPr>
          <w:rFonts w:eastAsia="Times New Roman"/>
          <w:color w:val="auto"/>
        </w:rPr>
        <w:t xml:space="preserve">. (žr. 6 pav.) </w:t>
      </w:r>
      <w:r w:rsidR="0003634D" w:rsidRPr="0090383C">
        <w:rPr>
          <w:rFonts w:eastAsia="Times New Roman"/>
          <w:color w:val="auto"/>
        </w:rPr>
        <w:t>.</w:t>
      </w:r>
    </w:p>
    <w:p w:rsidR="002C66D2" w:rsidRPr="0090383C" w:rsidRDefault="00A81C80" w:rsidP="002C66D2">
      <w:pPr>
        <w:pStyle w:val="Default"/>
        <w:jc w:val="both"/>
      </w:pPr>
      <w:r w:rsidRPr="0090383C">
        <w:tab/>
      </w:r>
    </w:p>
    <w:p w:rsidR="00CA793F" w:rsidRPr="0090383C" w:rsidRDefault="00C24A98" w:rsidP="00CA793F">
      <w:pPr>
        <w:pStyle w:val="Default"/>
        <w:ind w:firstLine="1418"/>
        <w:jc w:val="both"/>
        <w:rPr>
          <w:rFonts w:eastAsia="Times New Roman"/>
        </w:rPr>
      </w:pPr>
      <w:r w:rsidRPr="00EC6817">
        <w:rPr>
          <w:noProof/>
        </w:rPr>
        <w:drawing>
          <wp:inline distT="0" distB="0" distL="0" distR="0" wp14:anchorId="1A4AA1F2" wp14:editId="3C33737E">
            <wp:extent cx="4586288" cy="1709738"/>
            <wp:effectExtent l="0" t="0" r="24130" b="2413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1C80" w:rsidRPr="0090383C" w:rsidRDefault="00844AE7" w:rsidP="00CA793F">
      <w:pPr>
        <w:pStyle w:val="Default"/>
        <w:ind w:firstLine="1418"/>
        <w:jc w:val="both"/>
      </w:pPr>
      <w:r w:rsidRPr="0090383C">
        <w:rPr>
          <w:rFonts w:eastAsia="Times New Roman"/>
        </w:rPr>
        <w:t>6 pav.</w:t>
      </w:r>
      <w:r w:rsidR="00285557" w:rsidRPr="0090383C">
        <w:rPr>
          <w:rFonts w:eastAsia="Times New Roman"/>
        </w:rPr>
        <w:t xml:space="preserve"> </w:t>
      </w:r>
      <w:r w:rsidR="003C6201" w:rsidRPr="0090383C">
        <w:rPr>
          <w:rFonts w:eastAsia="Times New Roman"/>
        </w:rPr>
        <w:t>Alytaus m. užimtų</w:t>
      </w:r>
      <w:r w:rsidR="00A81C80" w:rsidRPr="0090383C">
        <w:rPr>
          <w:rFonts w:eastAsia="Times New Roman"/>
        </w:rPr>
        <w:t xml:space="preserve"> gyventojų s</w:t>
      </w:r>
      <w:r w:rsidR="00C24A98" w:rsidRPr="0090383C">
        <w:rPr>
          <w:rFonts w:eastAsia="Times New Roman"/>
        </w:rPr>
        <w:t>kaičius 2015–2018</w:t>
      </w:r>
      <w:r w:rsidR="00A81C80" w:rsidRPr="0090383C">
        <w:rPr>
          <w:rFonts w:eastAsia="Times New Roman"/>
        </w:rPr>
        <w:t xml:space="preserve"> m. (tūkst.) Šaltinis – Lietuvos statistikos departamentas</w:t>
      </w:r>
    </w:p>
    <w:p w:rsidR="00A81C80" w:rsidRPr="0090383C" w:rsidRDefault="00A81C80" w:rsidP="00A81C80">
      <w:pPr>
        <w:jc w:val="both"/>
        <w:rPr>
          <w:rFonts w:ascii="Times New Roman" w:eastAsia="Times New Roman" w:hAnsi="Times New Roman"/>
          <w:sz w:val="24"/>
          <w:szCs w:val="24"/>
          <w:lang w:eastAsia="lt-LT"/>
        </w:rPr>
      </w:pPr>
      <w:r w:rsidRPr="0090383C">
        <w:rPr>
          <w:rFonts w:ascii="Times New Roman" w:hAnsi="Times New Roman"/>
          <w:sz w:val="24"/>
          <w:szCs w:val="24"/>
        </w:rPr>
        <w:tab/>
      </w:r>
      <w:r w:rsidR="003C6201" w:rsidRPr="0090383C">
        <w:rPr>
          <w:rFonts w:ascii="Times New Roman" w:hAnsi="Times New Roman"/>
          <w:sz w:val="24"/>
          <w:szCs w:val="24"/>
        </w:rPr>
        <w:t xml:space="preserve">Gyventojų </w:t>
      </w:r>
      <w:r w:rsidRPr="0090383C">
        <w:rPr>
          <w:rFonts w:ascii="Times New Roman" w:hAnsi="Times New Roman"/>
          <w:sz w:val="24"/>
          <w:szCs w:val="24"/>
        </w:rPr>
        <w:t>užimtumas yra svarbus ekonomikos augimo ir gerėjančios gyvenimo kokybės veiksnys. Nedarbo problemas yra siekiama spręsti kompleksiškai – ne tik taikyti aktyvios darbo rinkos politikos priemones bedarbiams, bet ir skatinti naujų darbo vietų kūrimą.</w:t>
      </w:r>
      <w:r w:rsidRPr="0090383C">
        <w:rPr>
          <w:rFonts w:ascii="Times New Roman" w:eastAsia="Times New Roman" w:hAnsi="Times New Roman"/>
          <w:sz w:val="24"/>
          <w:szCs w:val="24"/>
          <w:lang w:eastAsia="lt-LT"/>
        </w:rPr>
        <w:t xml:space="preserve"> </w:t>
      </w:r>
    </w:p>
    <w:p w:rsidR="00A81C80" w:rsidRPr="0090383C" w:rsidRDefault="00A81C80" w:rsidP="00A81C80">
      <w:pPr>
        <w:jc w:val="both"/>
        <w:rPr>
          <w:rFonts w:ascii="Times New Roman" w:eastAsia="Times New Roman" w:hAnsi="Times New Roman"/>
          <w:sz w:val="24"/>
          <w:szCs w:val="24"/>
          <w:lang w:eastAsia="lt-LT"/>
        </w:rPr>
      </w:pPr>
      <w:r w:rsidRPr="0090383C">
        <w:rPr>
          <w:rFonts w:ascii="Times New Roman" w:eastAsia="Times New Roman" w:hAnsi="Times New Roman"/>
          <w:sz w:val="24"/>
          <w:szCs w:val="24"/>
          <w:lang w:eastAsia="lt-LT"/>
        </w:rPr>
        <w:lastRenderedPageBreak/>
        <w:tab/>
      </w:r>
      <w:r w:rsidR="001A05D1" w:rsidRPr="0090383C">
        <w:rPr>
          <w:rFonts w:ascii="Times New Roman" w:eastAsia="Times New Roman" w:hAnsi="Times New Roman"/>
          <w:sz w:val="24"/>
          <w:szCs w:val="24"/>
          <w:lang w:eastAsia="lt-LT"/>
        </w:rPr>
        <w:t>2015–2018</w:t>
      </w:r>
      <w:r w:rsidR="006D41C5" w:rsidRPr="0090383C">
        <w:rPr>
          <w:rFonts w:ascii="Times New Roman" w:eastAsia="Times New Roman" w:hAnsi="Times New Roman"/>
          <w:sz w:val="24"/>
          <w:szCs w:val="24"/>
          <w:lang w:eastAsia="lt-LT"/>
        </w:rPr>
        <w:t xml:space="preserve"> m. </w:t>
      </w:r>
      <w:r w:rsidR="00E904BF" w:rsidRPr="0090383C">
        <w:rPr>
          <w:rFonts w:ascii="Times New Roman" w:eastAsia="Times New Roman" w:hAnsi="Times New Roman"/>
          <w:sz w:val="24"/>
          <w:szCs w:val="24"/>
          <w:lang w:eastAsia="lt-LT"/>
        </w:rPr>
        <w:t xml:space="preserve">nežymiai </w:t>
      </w:r>
      <w:r w:rsidR="00B62C9B" w:rsidRPr="0090383C">
        <w:rPr>
          <w:rFonts w:ascii="Times New Roman" w:eastAsia="Times New Roman" w:hAnsi="Times New Roman"/>
          <w:sz w:val="24"/>
          <w:szCs w:val="24"/>
          <w:lang w:eastAsia="lt-LT"/>
        </w:rPr>
        <w:t>kinta</w:t>
      </w:r>
      <w:r w:rsidRPr="0090383C">
        <w:rPr>
          <w:rFonts w:ascii="Times New Roman" w:eastAsia="Times New Roman" w:hAnsi="Times New Roman"/>
          <w:sz w:val="24"/>
          <w:szCs w:val="24"/>
          <w:lang w:eastAsia="lt-LT"/>
        </w:rPr>
        <w:t xml:space="preserve"> nedarbo lygis</w:t>
      </w:r>
      <w:r w:rsidR="002E25F8" w:rsidRPr="0090383C">
        <w:rPr>
          <w:rFonts w:ascii="Times New Roman" w:eastAsia="Times New Roman" w:hAnsi="Times New Roman"/>
          <w:sz w:val="24"/>
          <w:szCs w:val="24"/>
          <w:lang w:eastAsia="lt-LT"/>
        </w:rPr>
        <w:t xml:space="preserve"> (registruotų bedarbių ir darbingo amžiaus gyventojų santykis)</w:t>
      </w:r>
      <w:r w:rsidRPr="0090383C">
        <w:rPr>
          <w:rFonts w:ascii="Times New Roman" w:eastAsia="Times New Roman" w:hAnsi="Times New Roman"/>
          <w:sz w:val="24"/>
          <w:szCs w:val="24"/>
          <w:lang w:eastAsia="lt-LT"/>
        </w:rPr>
        <w:t xml:space="preserve"> </w:t>
      </w:r>
      <w:r w:rsidR="006D41C5" w:rsidRPr="0090383C">
        <w:rPr>
          <w:rFonts w:ascii="Times New Roman" w:eastAsia="Times New Roman" w:hAnsi="Times New Roman"/>
          <w:sz w:val="24"/>
          <w:szCs w:val="24"/>
          <w:lang w:eastAsia="lt-LT"/>
        </w:rPr>
        <w:t xml:space="preserve">ir </w:t>
      </w:r>
      <w:r w:rsidR="001A05D1" w:rsidRPr="0090383C">
        <w:rPr>
          <w:rFonts w:ascii="Times New Roman" w:eastAsia="Times New Roman" w:hAnsi="Times New Roman"/>
          <w:sz w:val="24"/>
          <w:szCs w:val="24"/>
          <w:lang w:eastAsia="lt-LT"/>
        </w:rPr>
        <w:t>2018</w:t>
      </w:r>
      <w:r w:rsidR="00A4767E" w:rsidRPr="0090383C">
        <w:rPr>
          <w:rFonts w:ascii="Times New Roman" w:eastAsia="Times New Roman" w:hAnsi="Times New Roman"/>
          <w:sz w:val="24"/>
          <w:szCs w:val="24"/>
          <w:lang w:eastAsia="lt-LT"/>
        </w:rPr>
        <w:t xml:space="preserve"> m. </w:t>
      </w:r>
      <w:r w:rsidR="00B62C9B" w:rsidRPr="0090383C">
        <w:rPr>
          <w:rFonts w:ascii="Times New Roman" w:eastAsia="Times New Roman" w:hAnsi="Times New Roman"/>
          <w:sz w:val="24"/>
          <w:szCs w:val="24"/>
          <w:lang w:eastAsia="lt-LT"/>
        </w:rPr>
        <w:t>pabaigoje</w:t>
      </w:r>
      <w:r w:rsidR="00703A54" w:rsidRPr="0090383C">
        <w:rPr>
          <w:rFonts w:ascii="Times New Roman" w:eastAsia="Times New Roman" w:hAnsi="Times New Roman"/>
          <w:sz w:val="24"/>
          <w:szCs w:val="24"/>
          <w:lang w:eastAsia="lt-LT"/>
        </w:rPr>
        <w:t xml:space="preserve"> buvo 9</w:t>
      </w:r>
      <w:r w:rsidR="00B62C9B" w:rsidRPr="0090383C">
        <w:rPr>
          <w:rFonts w:ascii="Times New Roman" w:eastAsia="Times New Roman" w:hAnsi="Times New Roman"/>
          <w:sz w:val="24"/>
          <w:szCs w:val="24"/>
          <w:lang w:eastAsia="lt-LT"/>
        </w:rPr>
        <w:t>,4</w:t>
      </w:r>
      <w:r w:rsidR="006D41C5" w:rsidRPr="0090383C">
        <w:rPr>
          <w:rFonts w:ascii="Times New Roman" w:eastAsia="Times New Roman" w:hAnsi="Times New Roman"/>
          <w:sz w:val="24"/>
          <w:szCs w:val="24"/>
          <w:lang w:eastAsia="lt-LT"/>
        </w:rPr>
        <w:t xml:space="preserve"> </w:t>
      </w:r>
      <w:r w:rsidR="002E25F8" w:rsidRPr="0090383C">
        <w:rPr>
          <w:rFonts w:ascii="Times New Roman" w:eastAsia="Times New Roman" w:hAnsi="Times New Roman"/>
          <w:sz w:val="24"/>
          <w:szCs w:val="24"/>
          <w:lang w:eastAsia="lt-LT"/>
        </w:rPr>
        <w:t>proc.</w:t>
      </w:r>
      <w:r w:rsidR="006D41C5" w:rsidRPr="0090383C">
        <w:rPr>
          <w:rFonts w:ascii="Times New Roman" w:eastAsia="Times New Roman" w:hAnsi="Times New Roman"/>
          <w:sz w:val="24"/>
          <w:szCs w:val="24"/>
          <w:lang w:eastAsia="lt-LT"/>
        </w:rPr>
        <w:t xml:space="preserve"> </w:t>
      </w:r>
      <w:r w:rsidR="00653A48" w:rsidRPr="0090383C">
        <w:rPr>
          <w:rFonts w:ascii="Times New Roman" w:eastAsia="Times New Roman" w:hAnsi="Times New Roman"/>
          <w:sz w:val="24"/>
          <w:szCs w:val="24"/>
          <w:lang w:eastAsia="lt-LT"/>
        </w:rPr>
        <w:t>(žr. 7</w:t>
      </w:r>
      <w:r w:rsidRPr="0090383C">
        <w:rPr>
          <w:rFonts w:ascii="Times New Roman" w:eastAsia="Times New Roman" w:hAnsi="Times New Roman"/>
          <w:sz w:val="24"/>
          <w:szCs w:val="24"/>
          <w:lang w:eastAsia="lt-LT"/>
        </w:rPr>
        <w:t xml:space="preserve"> pav.).</w:t>
      </w:r>
    </w:p>
    <w:p w:rsidR="003C6201" w:rsidRPr="0090383C" w:rsidRDefault="003C6201" w:rsidP="00A81C80">
      <w:pPr>
        <w:jc w:val="both"/>
        <w:rPr>
          <w:rFonts w:ascii="Times New Roman" w:eastAsia="Times New Roman" w:hAnsi="Times New Roman"/>
          <w:sz w:val="24"/>
          <w:szCs w:val="24"/>
          <w:lang w:eastAsia="lt-LT"/>
        </w:rPr>
      </w:pPr>
    </w:p>
    <w:p w:rsidR="00A81C80" w:rsidRPr="0090383C" w:rsidRDefault="00E40FCE" w:rsidP="00EC6ED2">
      <w:pPr>
        <w:jc w:val="both"/>
        <w:rPr>
          <w:rFonts w:ascii="Times New Roman" w:eastAsia="Times New Roman" w:hAnsi="Times New Roman"/>
          <w:sz w:val="24"/>
          <w:szCs w:val="24"/>
        </w:rPr>
      </w:pPr>
      <w:r w:rsidRPr="0090383C">
        <w:rPr>
          <w:rFonts w:ascii="Times New Roman" w:eastAsia="Times New Roman" w:hAnsi="Times New Roman"/>
          <w:sz w:val="24"/>
          <w:szCs w:val="24"/>
        </w:rPr>
        <w:tab/>
      </w:r>
      <w:r w:rsidR="005E57CE" w:rsidRPr="0090383C">
        <w:rPr>
          <w:noProof/>
          <w:lang w:eastAsia="lt-LT"/>
        </w:rPr>
        <w:drawing>
          <wp:inline distT="0" distB="0" distL="0" distR="0" wp14:anchorId="1CE2738E" wp14:editId="3677CCB4">
            <wp:extent cx="4910138" cy="1662113"/>
            <wp:effectExtent l="0" t="0" r="24130" b="1460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358F5" w:rsidRPr="0090383C">
        <w:rPr>
          <w:noProof/>
          <w:lang w:eastAsia="lt-LT"/>
        </w:rPr>
        <w:t xml:space="preserve"> </w:t>
      </w:r>
    </w:p>
    <w:p w:rsidR="00EC6ED2" w:rsidRPr="0090383C" w:rsidRDefault="00EC6ED2" w:rsidP="00EC6ED2">
      <w:pPr>
        <w:ind w:left="1276" w:hanging="709"/>
        <w:jc w:val="both"/>
        <w:rPr>
          <w:rFonts w:ascii="Times New Roman" w:hAnsi="Times New Roman"/>
          <w:noProof/>
          <w:sz w:val="24"/>
          <w:szCs w:val="24"/>
          <w:lang w:eastAsia="lt-LT"/>
        </w:rPr>
      </w:pPr>
    </w:p>
    <w:p w:rsidR="00A81C80" w:rsidRPr="0090383C" w:rsidRDefault="00653A48" w:rsidP="00A81C80">
      <w:pPr>
        <w:ind w:firstLine="1298"/>
        <w:jc w:val="center"/>
        <w:rPr>
          <w:rFonts w:ascii="Times New Roman" w:eastAsia="Times New Roman" w:hAnsi="Times New Roman"/>
          <w:sz w:val="24"/>
          <w:szCs w:val="24"/>
          <w:lang w:eastAsia="lt-LT"/>
        </w:rPr>
      </w:pPr>
      <w:r w:rsidRPr="0090383C">
        <w:rPr>
          <w:rFonts w:ascii="Times New Roman" w:eastAsia="Times New Roman" w:hAnsi="Times New Roman"/>
          <w:sz w:val="24"/>
          <w:szCs w:val="24"/>
        </w:rPr>
        <w:t>7</w:t>
      </w:r>
      <w:r w:rsidR="00A81C80" w:rsidRPr="0090383C">
        <w:rPr>
          <w:rFonts w:ascii="Times New Roman" w:eastAsia="Times New Roman" w:hAnsi="Times New Roman"/>
          <w:sz w:val="24"/>
          <w:szCs w:val="24"/>
        </w:rPr>
        <w:t xml:space="preserve"> pav. </w:t>
      </w:r>
      <w:r w:rsidR="00C358F5" w:rsidRPr="0090383C">
        <w:rPr>
          <w:rFonts w:ascii="Times New Roman" w:eastAsia="Times New Roman" w:hAnsi="Times New Roman"/>
          <w:sz w:val="24"/>
          <w:szCs w:val="24"/>
        </w:rPr>
        <w:t xml:space="preserve">Nedarbo lygis </w:t>
      </w:r>
      <w:r w:rsidR="00EC7006" w:rsidRPr="0090383C">
        <w:rPr>
          <w:rFonts w:ascii="Times New Roman" w:eastAsia="Times New Roman" w:hAnsi="Times New Roman"/>
          <w:sz w:val="24"/>
          <w:szCs w:val="24"/>
        </w:rPr>
        <w:t xml:space="preserve">Alytaus mieste </w:t>
      </w:r>
      <w:r w:rsidR="00EC7006" w:rsidRPr="0090383C">
        <w:rPr>
          <w:rFonts w:ascii="Times New Roman" w:eastAsia="Times New Roman" w:hAnsi="Times New Roman"/>
          <w:sz w:val="24"/>
          <w:szCs w:val="24"/>
          <w:lang w:eastAsia="lt-LT"/>
        </w:rPr>
        <w:t xml:space="preserve">metų pradžioje </w:t>
      </w:r>
      <w:r w:rsidR="00A81C80" w:rsidRPr="0090383C">
        <w:rPr>
          <w:rFonts w:ascii="Times New Roman" w:eastAsia="Times New Roman" w:hAnsi="Times New Roman"/>
          <w:sz w:val="24"/>
          <w:szCs w:val="24"/>
          <w:lang w:eastAsia="lt-LT"/>
        </w:rPr>
        <w:t xml:space="preserve"> </w:t>
      </w:r>
      <w:r w:rsidR="001A05D1" w:rsidRPr="0090383C">
        <w:rPr>
          <w:rFonts w:ascii="Times New Roman" w:eastAsia="Times New Roman" w:hAnsi="Times New Roman"/>
          <w:sz w:val="24"/>
          <w:szCs w:val="24"/>
          <w:lang w:eastAsia="lt-LT"/>
        </w:rPr>
        <w:t>2015</w:t>
      </w:r>
      <w:r w:rsidR="00BD53FB" w:rsidRPr="0090383C">
        <w:rPr>
          <w:rFonts w:ascii="Times New Roman" w:eastAsia="Times New Roman" w:hAnsi="Times New Roman"/>
          <w:sz w:val="24"/>
          <w:szCs w:val="24"/>
          <w:lang w:eastAsia="lt-LT"/>
        </w:rPr>
        <w:t>–</w:t>
      </w:r>
      <w:r w:rsidR="001A05D1" w:rsidRPr="0090383C">
        <w:rPr>
          <w:rFonts w:ascii="Times New Roman" w:eastAsia="Times New Roman" w:hAnsi="Times New Roman"/>
          <w:sz w:val="24"/>
          <w:szCs w:val="24"/>
          <w:lang w:eastAsia="lt-LT"/>
        </w:rPr>
        <w:t>2018</w:t>
      </w:r>
      <w:r w:rsidR="00A81C80" w:rsidRPr="0090383C">
        <w:rPr>
          <w:rFonts w:ascii="Times New Roman" w:eastAsia="Times New Roman" w:hAnsi="Times New Roman"/>
          <w:sz w:val="24"/>
          <w:szCs w:val="24"/>
          <w:lang w:eastAsia="lt-LT"/>
        </w:rPr>
        <w:t xml:space="preserve"> m. Šaltinis – </w:t>
      </w:r>
      <w:r w:rsidR="00B62C9B" w:rsidRPr="0090383C">
        <w:rPr>
          <w:rFonts w:ascii="Times New Roman" w:eastAsia="Times New Roman" w:hAnsi="Times New Roman"/>
          <w:sz w:val="24"/>
          <w:szCs w:val="24"/>
          <w:lang w:eastAsia="lt-LT"/>
        </w:rPr>
        <w:t>Lietuvos statistikos departamentas</w:t>
      </w:r>
    </w:p>
    <w:p w:rsidR="00B62C9B" w:rsidRPr="0090383C" w:rsidRDefault="00B62C9B" w:rsidP="00A81C80">
      <w:pPr>
        <w:ind w:firstLine="1298"/>
        <w:jc w:val="center"/>
        <w:rPr>
          <w:rFonts w:ascii="Times New Roman" w:eastAsia="Times New Roman" w:hAnsi="Times New Roman"/>
          <w:sz w:val="24"/>
          <w:szCs w:val="24"/>
        </w:rPr>
      </w:pPr>
    </w:p>
    <w:p w:rsidR="00A81C80" w:rsidRPr="0090383C" w:rsidRDefault="00A81C80" w:rsidP="00A81C80">
      <w:pPr>
        <w:jc w:val="both"/>
        <w:rPr>
          <w:rFonts w:ascii="Times New Roman" w:hAnsi="Times New Roman"/>
          <w:sz w:val="24"/>
          <w:szCs w:val="24"/>
        </w:rPr>
      </w:pPr>
      <w:r w:rsidRPr="0090383C">
        <w:tab/>
      </w:r>
      <w:r w:rsidR="00A01F3A" w:rsidRPr="0090383C">
        <w:rPr>
          <w:rFonts w:ascii="Times New Roman" w:hAnsi="Times New Roman"/>
          <w:sz w:val="24"/>
          <w:szCs w:val="24"/>
        </w:rPr>
        <w:t>I</w:t>
      </w:r>
      <w:r w:rsidRPr="0090383C">
        <w:rPr>
          <w:rFonts w:ascii="Times New Roman" w:hAnsi="Times New Roman"/>
          <w:sz w:val="24"/>
          <w:szCs w:val="24"/>
        </w:rPr>
        <w:t xml:space="preserve">šlieka kvalifikuotų darbuotojų trūkumo problema. Sparčiai augantis laisvų darbo vietų skaičius įspėja apie ryškėjančią darbo pasiūlos </w:t>
      </w:r>
      <w:r w:rsidR="004968ED" w:rsidRPr="0090383C">
        <w:rPr>
          <w:rFonts w:ascii="Times New Roman" w:hAnsi="Times New Roman"/>
          <w:sz w:val="24"/>
          <w:szCs w:val="24"/>
        </w:rPr>
        <w:t xml:space="preserve">ir paklausos </w:t>
      </w:r>
      <w:r w:rsidRPr="0090383C">
        <w:rPr>
          <w:rFonts w:ascii="Times New Roman" w:hAnsi="Times New Roman"/>
          <w:sz w:val="24"/>
          <w:szCs w:val="24"/>
        </w:rPr>
        <w:t>neatitiktį.</w:t>
      </w:r>
    </w:p>
    <w:p w:rsidR="00A81C80" w:rsidRPr="0090383C" w:rsidRDefault="00A81C80" w:rsidP="00A81C80">
      <w:pPr>
        <w:jc w:val="both"/>
        <w:rPr>
          <w:rFonts w:ascii="Times New Roman" w:eastAsia="Times New Roman" w:hAnsi="Times New Roman"/>
          <w:sz w:val="24"/>
          <w:szCs w:val="24"/>
          <w:lang w:eastAsia="lt-LT"/>
        </w:rPr>
      </w:pPr>
      <w:r w:rsidRPr="0090383C">
        <w:rPr>
          <w:rFonts w:ascii="Times New Roman" w:hAnsi="Times New Roman"/>
          <w:sz w:val="24"/>
          <w:szCs w:val="24"/>
        </w:rPr>
        <w:tab/>
        <w:t>Tęsiamas aktyvios darbo rinkos politikos priemonių įgyvendinimas</w:t>
      </w:r>
      <w:r w:rsidR="005A2288" w:rsidRPr="0090383C">
        <w:rPr>
          <w:rFonts w:ascii="Times New Roman" w:hAnsi="Times New Roman"/>
          <w:sz w:val="24"/>
          <w:szCs w:val="24"/>
        </w:rPr>
        <w:t xml:space="preserve">. Nuo 2017 m. vidurio </w:t>
      </w:r>
      <w:r w:rsidR="00B11620" w:rsidRPr="0090383C">
        <w:rPr>
          <w:rFonts w:ascii="Times New Roman" w:hAnsi="Times New Roman"/>
          <w:sz w:val="24"/>
          <w:szCs w:val="24"/>
        </w:rPr>
        <w:t xml:space="preserve">nebevykdoma </w:t>
      </w:r>
      <w:r w:rsidR="004968ED" w:rsidRPr="0090383C">
        <w:rPr>
          <w:rFonts w:ascii="Times New Roman" w:hAnsi="Times New Roman"/>
          <w:sz w:val="24"/>
          <w:szCs w:val="24"/>
        </w:rPr>
        <w:t>V</w:t>
      </w:r>
      <w:r w:rsidR="00B11620" w:rsidRPr="0090383C">
        <w:rPr>
          <w:rFonts w:ascii="Times New Roman" w:hAnsi="Times New Roman"/>
          <w:sz w:val="24"/>
          <w:szCs w:val="24"/>
        </w:rPr>
        <w:t>iešųjų darbų programa</w:t>
      </w:r>
      <w:r w:rsidR="005A2288" w:rsidRPr="0090383C">
        <w:rPr>
          <w:rFonts w:ascii="Times New Roman" w:hAnsi="Times New Roman"/>
          <w:sz w:val="24"/>
          <w:szCs w:val="24"/>
        </w:rPr>
        <w:t xml:space="preserve">, ją pakeitė </w:t>
      </w:r>
      <w:r w:rsidR="004968ED" w:rsidRPr="0090383C">
        <w:rPr>
          <w:rFonts w:ascii="Times New Roman" w:hAnsi="Times New Roman"/>
          <w:sz w:val="24"/>
          <w:szCs w:val="24"/>
        </w:rPr>
        <w:t>U</w:t>
      </w:r>
      <w:r w:rsidR="005A2288" w:rsidRPr="0090383C">
        <w:rPr>
          <w:rFonts w:ascii="Times New Roman" w:hAnsi="Times New Roman"/>
          <w:sz w:val="24"/>
          <w:szCs w:val="24"/>
        </w:rPr>
        <w:t>žimtumo didinimo programa.</w:t>
      </w:r>
      <w:r w:rsidRPr="0090383C">
        <w:rPr>
          <w:rFonts w:ascii="Times New Roman" w:hAnsi="Times New Roman"/>
          <w:sz w:val="24"/>
          <w:szCs w:val="24"/>
        </w:rPr>
        <w:t xml:space="preserve"> Miesto </w:t>
      </w:r>
      <w:r w:rsidR="00C35CBE" w:rsidRPr="0090383C">
        <w:rPr>
          <w:rFonts w:ascii="Times New Roman" w:hAnsi="Times New Roman"/>
          <w:sz w:val="24"/>
          <w:szCs w:val="24"/>
        </w:rPr>
        <w:t>užimtumo didinimo programoje</w:t>
      </w:r>
      <w:r w:rsidRPr="0090383C">
        <w:rPr>
          <w:rFonts w:ascii="Times New Roman" w:hAnsi="Times New Roman"/>
          <w:sz w:val="24"/>
          <w:szCs w:val="24"/>
        </w:rPr>
        <w:t xml:space="preserve"> </w:t>
      </w:r>
      <w:r w:rsidR="00C20DE8" w:rsidRPr="0090383C">
        <w:rPr>
          <w:rFonts w:ascii="Times New Roman" w:hAnsi="Times New Roman"/>
          <w:sz w:val="24"/>
          <w:szCs w:val="24"/>
        </w:rPr>
        <w:t>2018 m</w:t>
      </w:r>
      <w:r w:rsidR="00117618" w:rsidRPr="0090383C">
        <w:rPr>
          <w:rFonts w:ascii="Times New Roman" w:hAnsi="Times New Roman"/>
          <w:sz w:val="24"/>
          <w:szCs w:val="24"/>
        </w:rPr>
        <w:t>.</w:t>
      </w:r>
      <w:r w:rsidR="00C20DE8" w:rsidRPr="0090383C">
        <w:rPr>
          <w:rFonts w:ascii="Times New Roman" w:hAnsi="Times New Roman"/>
          <w:sz w:val="24"/>
          <w:szCs w:val="24"/>
        </w:rPr>
        <w:t xml:space="preserve"> </w:t>
      </w:r>
      <w:r w:rsidRPr="0090383C">
        <w:rPr>
          <w:rFonts w:ascii="Times New Roman" w:hAnsi="Times New Roman"/>
          <w:sz w:val="24"/>
          <w:szCs w:val="24"/>
        </w:rPr>
        <w:t xml:space="preserve">dalyvavo </w:t>
      </w:r>
      <w:r w:rsidR="00C20DE8" w:rsidRPr="0090383C">
        <w:rPr>
          <w:rFonts w:ascii="Times New Roman" w:hAnsi="Times New Roman"/>
          <w:sz w:val="24"/>
          <w:szCs w:val="24"/>
        </w:rPr>
        <w:t>114</w:t>
      </w:r>
      <w:r w:rsidR="00D7405B" w:rsidRPr="0090383C">
        <w:rPr>
          <w:rFonts w:ascii="Times New Roman" w:hAnsi="Times New Roman"/>
          <w:sz w:val="24"/>
          <w:szCs w:val="24"/>
        </w:rPr>
        <w:t xml:space="preserve"> </w:t>
      </w:r>
      <w:r w:rsidR="00C20DE8" w:rsidRPr="0090383C">
        <w:rPr>
          <w:rFonts w:ascii="Times New Roman" w:hAnsi="Times New Roman"/>
          <w:sz w:val="24"/>
          <w:szCs w:val="24"/>
        </w:rPr>
        <w:t>asmenų</w:t>
      </w:r>
      <w:r w:rsidRPr="0090383C">
        <w:rPr>
          <w:rFonts w:ascii="Times New Roman" w:hAnsi="Times New Roman"/>
          <w:sz w:val="24"/>
          <w:szCs w:val="24"/>
        </w:rPr>
        <w:t>.</w:t>
      </w:r>
    </w:p>
    <w:p w:rsidR="00A81C80" w:rsidRPr="0090383C" w:rsidRDefault="00A81C80" w:rsidP="008B2649">
      <w:pPr>
        <w:autoSpaceDE w:val="0"/>
        <w:autoSpaceDN w:val="0"/>
        <w:adjustRightInd w:val="0"/>
        <w:jc w:val="both"/>
        <w:rPr>
          <w:rFonts w:ascii="Times New Roman" w:eastAsiaTheme="minorHAnsi" w:hAnsi="Times New Roman"/>
          <w:color w:val="FF0000"/>
          <w:sz w:val="24"/>
          <w:szCs w:val="24"/>
        </w:rPr>
      </w:pPr>
      <w:r w:rsidRPr="0090383C">
        <w:rPr>
          <w:rFonts w:eastAsia="Times New Roman"/>
        </w:rPr>
        <w:tab/>
      </w:r>
      <w:r w:rsidR="008310BC" w:rsidRPr="0090383C">
        <w:rPr>
          <w:rFonts w:ascii="Times New Roman" w:eastAsia="Times New Roman" w:hAnsi="Times New Roman"/>
          <w:sz w:val="24"/>
          <w:szCs w:val="24"/>
        </w:rPr>
        <w:t>Kasmet didėja</w:t>
      </w:r>
      <w:r w:rsidRPr="0090383C">
        <w:rPr>
          <w:rFonts w:ascii="Times New Roman" w:eastAsia="Times New Roman" w:hAnsi="Times New Roman"/>
          <w:sz w:val="24"/>
          <w:szCs w:val="24"/>
        </w:rPr>
        <w:t xml:space="preserve"> vidutinis mėnesinis d</w:t>
      </w:r>
      <w:r w:rsidR="00BD7DE7" w:rsidRPr="0090383C">
        <w:rPr>
          <w:rFonts w:ascii="Times New Roman" w:eastAsia="Times New Roman" w:hAnsi="Times New Roman"/>
          <w:sz w:val="24"/>
          <w:szCs w:val="24"/>
        </w:rPr>
        <w:t>arbo užmokestis</w:t>
      </w:r>
      <w:r w:rsidR="006F36C9" w:rsidRPr="0090383C">
        <w:rPr>
          <w:rFonts w:ascii="Times New Roman" w:eastAsia="Times New Roman" w:hAnsi="Times New Roman"/>
          <w:sz w:val="24"/>
          <w:szCs w:val="24"/>
        </w:rPr>
        <w:t>.</w:t>
      </w:r>
      <w:r w:rsidR="008310BC" w:rsidRPr="0090383C">
        <w:rPr>
          <w:rFonts w:ascii="Times New Roman" w:eastAsia="Times New Roman" w:hAnsi="Times New Roman"/>
          <w:sz w:val="24"/>
          <w:szCs w:val="24"/>
        </w:rPr>
        <w:t xml:space="preserve"> 2018 m. jis </w:t>
      </w:r>
      <w:r w:rsidR="00B21662" w:rsidRPr="0090383C">
        <w:rPr>
          <w:rFonts w:ascii="Times New Roman" w:eastAsia="Times New Roman" w:hAnsi="Times New Roman"/>
          <w:sz w:val="24"/>
          <w:szCs w:val="24"/>
        </w:rPr>
        <w:t xml:space="preserve">sudarė </w:t>
      </w:r>
      <w:r w:rsidR="008310BC" w:rsidRPr="0090383C">
        <w:rPr>
          <w:rFonts w:ascii="Times New Roman" w:eastAsia="Times New Roman" w:hAnsi="Times New Roman"/>
          <w:sz w:val="24"/>
          <w:szCs w:val="24"/>
        </w:rPr>
        <w:t>818,4</w:t>
      </w:r>
      <w:r w:rsidR="00B21662" w:rsidRPr="0090383C">
        <w:rPr>
          <w:rFonts w:ascii="Times New Roman" w:eastAsia="Times New Roman" w:hAnsi="Times New Roman"/>
          <w:sz w:val="24"/>
          <w:szCs w:val="24"/>
        </w:rPr>
        <w:t xml:space="preserve"> Eur.</w:t>
      </w:r>
      <w:r w:rsidR="00BD7DE7" w:rsidRPr="0090383C">
        <w:rPr>
          <w:rFonts w:ascii="Times New Roman" w:eastAsia="Times New Roman" w:hAnsi="Times New Roman"/>
          <w:sz w:val="24"/>
          <w:szCs w:val="24"/>
        </w:rPr>
        <w:t xml:space="preserve"> </w:t>
      </w:r>
      <w:r w:rsidR="00B21662" w:rsidRPr="0090383C">
        <w:rPr>
          <w:rFonts w:ascii="Times New Roman" w:eastAsia="Times New Roman" w:hAnsi="Times New Roman"/>
          <w:sz w:val="24"/>
          <w:szCs w:val="24"/>
        </w:rPr>
        <w:t xml:space="preserve">Kaip kito darbo užmokestis mieste matosi </w:t>
      </w:r>
      <w:r w:rsidRPr="0090383C">
        <w:rPr>
          <w:rFonts w:ascii="Times New Roman" w:eastAsia="Times New Roman" w:hAnsi="Times New Roman"/>
          <w:sz w:val="24"/>
          <w:szCs w:val="24"/>
        </w:rPr>
        <w:t xml:space="preserve"> </w:t>
      </w:r>
      <w:r w:rsidR="00653A48" w:rsidRPr="0090383C">
        <w:rPr>
          <w:rFonts w:ascii="Times New Roman" w:eastAsia="Times New Roman" w:hAnsi="Times New Roman"/>
          <w:sz w:val="24"/>
          <w:szCs w:val="24"/>
        </w:rPr>
        <w:t>8</w:t>
      </w:r>
      <w:r w:rsidRPr="0090383C">
        <w:rPr>
          <w:rFonts w:ascii="Times New Roman" w:eastAsia="Times New Roman" w:hAnsi="Times New Roman"/>
          <w:sz w:val="24"/>
          <w:szCs w:val="24"/>
        </w:rPr>
        <w:t xml:space="preserve"> pav. Šis rod</w:t>
      </w:r>
      <w:r w:rsidR="00BD53FB" w:rsidRPr="0090383C">
        <w:rPr>
          <w:rFonts w:ascii="Times New Roman" w:eastAsia="Times New Roman" w:hAnsi="Times New Roman"/>
          <w:sz w:val="24"/>
          <w:szCs w:val="24"/>
        </w:rPr>
        <w:t xml:space="preserve">iklis nesiekia šalies vidurkio – </w:t>
      </w:r>
      <w:r w:rsidR="00B21662" w:rsidRPr="0090383C">
        <w:rPr>
          <w:rFonts w:ascii="Times New Roman" w:eastAsia="Times New Roman" w:hAnsi="Times New Roman"/>
          <w:sz w:val="24"/>
          <w:szCs w:val="24"/>
        </w:rPr>
        <w:t>924,1</w:t>
      </w:r>
      <w:r w:rsidRPr="0090383C">
        <w:rPr>
          <w:rFonts w:ascii="Times New Roman" w:eastAsia="Times New Roman" w:hAnsi="Times New Roman"/>
          <w:sz w:val="24"/>
          <w:szCs w:val="24"/>
        </w:rPr>
        <w:t xml:space="preserve"> Eur</w:t>
      </w:r>
      <w:r w:rsidR="00BD53FB" w:rsidRPr="0090383C">
        <w:rPr>
          <w:rFonts w:ascii="Times New Roman" w:eastAsia="Times New Roman" w:hAnsi="Times New Roman"/>
          <w:sz w:val="24"/>
          <w:szCs w:val="24"/>
        </w:rPr>
        <w:t xml:space="preserve">. (Panevėžyje – </w:t>
      </w:r>
      <w:r w:rsidR="00B21662" w:rsidRPr="0090383C">
        <w:rPr>
          <w:rFonts w:ascii="Times New Roman" w:hAnsi="Times New Roman"/>
          <w:sz w:val="24"/>
          <w:szCs w:val="24"/>
        </w:rPr>
        <w:t>861,3</w:t>
      </w:r>
      <w:r w:rsidR="0053683F" w:rsidRPr="0090383C">
        <w:rPr>
          <w:rFonts w:ascii="Times New Roman" w:hAnsi="Times New Roman"/>
          <w:sz w:val="24"/>
          <w:szCs w:val="24"/>
        </w:rPr>
        <w:t xml:space="preserve"> </w:t>
      </w:r>
      <w:r w:rsidR="00BD53FB" w:rsidRPr="0090383C">
        <w:rPr>
          <w:rFonts w:ascii="Times New Roman" w:eastAsia="Times New Roman" w:hAnsi="Times New Roman"/>
          <w:sz w:val="24"/>
          <w:szCs w:val="24"/>
        </w:rPr>
        <w:t xml:space="preserve">Eur, Klaipėdoje – </w:t>
      </w:r>
      <w:r w:rsidR="00B21662" w:rsidRPr="0090383C">
        <w:rPr>
          <w:rFonts w:ascii="Times New Roman" w:eastAsia="Times New Roman" w:hAnsi="Times New Roman"/>
          <w:sz w:val="24"/>
          <w:szCs w:val="24"/>
        </w:rPr>
        <w:t>970,4</w:t>
      </w:r>
      <w:r w:rsidR="00BD53FB" w:rsidRPr="0090383C">
        <w:rPr>
          <w:rFonts w:ascii="Times New Roman" w:eastAsia="Times New Roman" w:hAnsi="Times New Roman"/>
          <w:sz w:val="24"/>
          <w:szCs w:val="24"/>
        </w:rPr>
        <w:t xml:space="preserve"> Eur, </w:t>
      </w:r>
      <w:r w:rsidR="00956544" w:rsidRPr="0090383C">
        <w:rPr>
          <w:rFonts w:ascii="Times New Roman" w:eastAsia="Times New Roman" w:hAnsi="Times New Roman"/>
          <w:sz w:val="24"/>
          <w:szCs w:val="24"/>
        </w:rPr>
        <w:t>Kaune</w:t>
      </w:r>
      <w:r w:rsidR="00BD53FB" w:rsidRPr="0090383C">
        <w:rPr>
          <w:rFonts w:ascii="Times New Roman" w:eastAsia="Times New Roman" w:hAnsi="Times New Roman"/>
          <w:sz w:val="24"/>
          <w:szCs w:val="24"/>
        </w:rPr>
        <w:t xml:space="preserve"> – </w:t>
      </w:r>
      <w:r w:rsidR="00B21662" w:rsidRPr="0090383C">
        <w:rPr>
          <w:rFonts w:ascii="Times New Roman" w:eastAsia="Times New Roman" w:hAnsi="Times New Roman"/>
          <w:sz w:val="24"/>
          <w:szCs w:val="24"/>
        </w:rPr>
        <w:t>941,5</w:t>
      </w:r>
      <w:r w:rsidR="00BD53FB" w:rsidRPr="0090383C">
        <w:rPr>
          <w:rFonts w:ascii="Times New Roman" w:eastAsia="Times New Roman" w:hAnsi="Times New Roman"/>
          <w:sz w:val="24"/>
          <w:szCs w:val="24"/>
        </w:rPr>
        <w:t xml:space="preserve">Eur, </w:t>
      </w:r>
      <w:r w:rsidR="00956544" w:rsidRPr="0090383C">
        <w:rPr>
          <w:rFonts w:ascii="Times New Roman" w:eastAsia="Times New Roman" w:hAnsi="Times New Roman"/>
          <w:sz w:val="24"/>
          <w:szCs w:val="24"/>
        </w:rPr>
        <w:t>Šiauliuose</w:t>
      </w:r>
      <w:r w:rsidR="00BD53FB" w:rsidRPr="0090383C">
        <w:rPr>
          <w:rFonts w:ascii="Times New Roman" w:eastAsia="Times New Roman" w:hAnsi="Times New Roman"/>
          <w:sz w:val="24"/>
          <w:szCs w:val="24"/>
        </w:rPr>
        <w:t xml:space="preserve"> – </w:t>
      </w:r>
      <w:r w:rsidR="00B21662" w:rsidRPr="0090383C">
        <w:rPr>
          <w:rFonts w:ascii="Times New Roman" w:eastAsia="Times New Roman" w:hAnsi="Times New Roman"/>
          <w:sz w:val="24"/>
          <w:szCs w:val="24"/>
        </w:rPr>
        <w:t>803,2</w:t>
      </w:r>
      <w:r w:rsidR="00956544" w:rsidRPr="0090383C">
        <w:rPr>
          <w:rFonts w:ascii="Times New Roman" w:eastAsia="Times New Roman" w:hAnsi="Times New Roman"/>
          <w:sz w:val="24"/>
          <w:szCs w:val="24"/>
        </w:rPr>
        <w:t xml:space="preserve"> Eur</w:t>
      </w:r>
      <w:r w:rsidR="00BD53FB" w:rsidRPr="0090383C">
        <w:rPr>
          <w:rFonts w:ascii="Times New Roman" w:eastAsia="Times New Roman" w:hAnsi="Times New Roman"/>
          <w:sz w:val="24"/>
          <w:szCs w:val="24"/>
        </w:rPr>
        <w:t>).</w:t>
      </w:r>
      <w:r w:rsidR="008640A3" w:rsidRPr="0090383C">
        <w:rPr>
          <w:rFonts w:ascii="Times New Roman" w:eastAsia="Times New Roman" w:hAnsi="Times New Roman"/>
          <w:sz w:val="24"/>
          <w:szCs w:val="24"/>
        </w:rPr>
        <w:t xml:space="preserve"> </w:t>
      </w:r>
      <w:r w:rsidR="008640A3" w:rsidRPr="0090383C">
        <w:rPr>
          <w:rFonts w:ascii="Times New Roman" w:eastAsiaTheme="minorHAnsi" w:hAnsi="Times New Roman"/>
          <w:sz w:val="24"/>
          <w:szCs w:val="24"/>
        </w:rPr>
        <w:t xml:space="preserve">Spartesnį gyventojų pajamų augimą galėtų paskatinti kitų šalių investuotojų pritraukimas. Užsienio įmonių siūlomi atlyginimai neretai didesni nei vietos darbdavių. Be to, pasamdžius darbuotojus, užsienio įmonės daug investuoja į jų mokymus, kvalifikacijos kėlimą </w:t>
      </w:r>
      <w:r w:rsidR="004968ED" w:rsidRPr="0090383C">
        <w:rPr>
          <w:rFonts w:ascii="Times New Roman" w:eastAsiaTheme="minorHAnsi" w:hAnsi="Times New Roman"/>
          <w:sz w:val="24"/>
          <w:szCs w:val="24"/>
        </w:rPr>
        <w:t>ir</w:t>
      </w:r>
      <w:r w:rsidR="008640A3" w:rsidRPr="0090383C">
        <w:rPr>
          <w:rFonts w:ascii="Times New Roman" w:eastAsiaTheme="minorHAnsi" w:hAnsi="Times New Roman"/>
          <w:sz w:val="24"/>
          <w:szCs w:val="24"/>
        </w:rPr>
        <w:t xml:space="preserve"> jų išlaikymą. Visa tai skatina vietos verslą siūlyti geresnes darbo sąlygas ir konkurencingesnius atlyginimus.</w:t>
      </w:r>
    </w:p>
    <w:p w:rsidR="009E50BD" w:rsidRPr="0090383C" w:rsidRDefault="008310BC" w:rsidP="009E50BD">
      <w:pPr>
        <w:spacing w:before="100" w:beforeAutospacing="1" w:after="100" w:afterAutospacing="1"/>
        <w:ind w:left="1276"/>
        <w:jc w:val="both"/>
        <w:rPr>
          <w:rFonts w:ascii="Times New Roman" w:eastAsia="Times New Roman" w:hAnsi="Times New Roman"/>
          <w:sz w:val="24"/>
          <w:szCs w:val="24"/>
          <w:lang w:eastAsia="lt-LT"/>
        </w:rPr>
      </w:pPr>
      <w:r w:rsidRPr="0090383C">
        <w:rPr>
          <w:noProof/>
          <w:lang w:eastAsia="lt-LT"/>
        </w:rPr>
        <w:drawing>
          <wp:inline distT="0" distB="0" distL="0" distR="0" wp14:anchorId="2CF4DF1F" wp14:editId="492077E9">
            <wp:extent cx="4767262" cy="1528763"/>
            <wp:effectExtent l="0" t="0" r="14605" b="1460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40FCE" w:rsidRPr="0090383C">
        <w:rPr>
          <w:rFonts w:ascii="Times New Roman" w:hAnsi="Times New Roman"/>
          <w:sz w:val="24"/>
          <w:szCs w:val="24"/>
        </w:rPr>
        <w:tab/>
      </w:r>
    </w:p>
    <w:p w:rsidR="00A81C80" w:rsidRPr="0090383C" w:rsidRDefault="00653A48" w:rsidP="00B21662">
      <w:pPr>
        <w:spacing w:before="100" w:beforeAutospacing="1" w:after="100" w:afterAutospacing="1"/>
        <w:ind w:left="1276" w:hanging="1276"/>
        <w:jc w:val="both"/>
        <w:rPr>
          <w:rFonts w:ascii="Times New Roman" w:eastAsia="Times New Roman" w:hAnsi="Times New Roman"/>
          <w:sz w:val="24"/>
          <w:szCs w:val="24"/>
          <w:lang w:eastAsia="lt-LT"/>
        </w:rPr>
      </w:pPr>
      <w:r w:rsidRPr="0090383C">
        <w:rPr>
          <w:rFonts w:ascii="Times New Roman" w:eastAsia="Times New Roman" w:hAnsi="Times New Roman"/>
          <w:sz w:val="24"/>
          <w:szCs w:val="24"/>
          <w:lang w:eastAsia="lt-LT"/>
        </w:rPr>
        <w:t>8</w:t>
      </w:r>
      <w:r w:rsidR="00A81C80" w:rsidRPr="0090383C">
        <w:rPr>
          <w:rFonts w:ascii="Times New Roman" w:eastAsia="Times New Roman" w:hAnsi="Times New Roman"/>
          <w:sz w:val="24"/>
          <w:szCs w:val="24"/>
          <w:lang w:eastAsia="lt-LT"/>
        </w:rPr>
        <w:t xml:space="preserve"> pav. Vidutinis mėn. darbo užm</w:t>
      </w:r>
      <w:r w:rsidR="00F27EC4" w:rsidRPr="0090383C">
        <w:rPr>
          <w:rFonts w:ascii="Times New Roman" w:eastAsia="Times New Roman" w:hAnsi="Times New Roman"/>
          <w:sz w:val="24"/>
          <w:szCs w:val="24"/>
          <w:lang w:eastAsia="lt-LT"/>
        </w:rPr>
        <w:t xml:space="preserve">okestis Alytaus mieste </w:t>
      </w:r>
      <w:r w:rsidR="00B21662" w:rsidRPr="0090383C">
        <w:rPr>
          <w:rFonts w:ascii="Times New Roman" w:eastAsia="Times New Roman" w:hAnsi="Times New Roman"/>
          <w:sz w:val="24"/>
          <w:szCs w:val="24"/>
          <w:lang w:eastAsia="lt-LT"/>
        </w:rPr>
        <w:t>2015–2018</w:t>
      </w:r>
      <w:r w:rsidR="00A81C80" w:rsidRPr="0090383C">
        <w:rPr>
          <w:rFonts w:ascii="Times New Roman" w:eastAsia="Times New Roman" w:hAnsi="Times New Roman"/>
          <w:sz w:val="24"/>
          <w:szCs w:val="24"/>
          <w:lang w:eastAsia="lt-LT"/>
        </w:rPr>
        <w:t xml:space="preserve"> m.</w:t>
      </w:r>
      <w:r w:rsidR="00C94EF6" w:rsidRPr="0090383C">
        <w:rPr>
          <w:rFonts w:ascii="Times New Roman" w:eastAsia="Times New Roman" w:hAnsi="Times New Roman"/>
          <w:sz w:val="24"/>
          <w:szCs w:val="24"/>
          <w:lang w:eastAsia="lt-LT"/>
        </w:rPr>
        <w:t xml:space="preserve"> </w:t>
      </w:r>
      <w:r w:rsidR="00A81C80" w:rsidRPr="0090383C">
        <w:rPr>
          <w:rFonts w:ascii="Times New Roman" w:eastAsia="Times New Roman" w:hAnsi="Times New Roman"/>
          <w:sz w:val="24"/>
          <w:szCs w:val="24"/>
        </w:rPr>
        <w:t>Šaltinis – Lietuvos statistikos departamentas</w:t>
      </w:r>
    </w:p>
    <w:p w:rsidR="00A81C80" w:rsidRPr="0090383C" w:rsidRDefault="00A81C80" w:rsidP="00A81C80">
      <w:pPr>
        <w:jc w:val="both"/>
        <w:rPr>
          <w:rFonts w:ascii="Times New Roman" w:hAnsi="Times New Roman"/>
          <w:sz w:val="24"/>
          <w:szCs w:val="24"/>
          <w:lang w:eastAsia="lt-LT"/>
        </w:rPr>
      </w:pPr>
      <w:r w:rsidRPr="0090383C">
        <w:rPr>
          <w:rFonts w:ascii="Times New Roman" w:hAnsi="Times New Roman"/>
          <w:sz w:val="24"/>
          <w:szCs w:val="24"/>
          <w:lang w:eastAsia="lt-LT"/>
        </w:rPr>
        <w:tab/>
        <w:t xml:space="preserve">Vidutinė tikėtina </w:t>
      </w:r>
      <w:r w:rsidR="00513280" w:rsidRPr="0090383C">
        <w:rPr>
          <w:rFonts w:ascii="Times New Roman" w:hAnsi="Times New Roman"/>
          <w:sz w:val="24"/>
          <w:szCs w:val="24"/>
          <w:lang w:eastAsia="lt-LT"/>
        </w:rPr>
        <w:t>regiono</w:t>
      </w:r>
      <w:r w:rsidR="006F57D3" w:rsidRPr="0090383C">
        <w:rPr>
          <w:rFonts w:ascii="Times New Roman" w:hAnsi="Times New Roman"/>
          <w:sz w:val="24"/>
          <w:szCs w:val="24"/>
          <w:lang w:eastAsia="lt-LT"/>
        </w:rPr>
        <w:t xml:space="preserve"> gyventojų gyvenimo trukmė – </w:t>
      </w:r>
      <w:r w:rsidR="00513280" w:rsidRPr="0090383C">
        <w:rPr>
          <w:rFonts w:ascii="Times New Roman" w:hAnsi="Times New Roman"/>
          <w:sz w:val="24"/>
          <w:szCs w:val="24"/>
          <w:lang w:eastAsia="lt-LT"/>
        </w:rPr>
        <w:t>76,17</w:t>
      </w:r>
      <w:r w:rsidRPr="0090383C">
        <w:rPr>
          <w:rFonts w:ascii="Times New Roman" w:hAnsi="Times New Roman"/>
          <w:sz w:val="24"/>
          <w:szCs w:val="24"/>
          <w:lang w:eastAsia="lt-LT"/>
        </w:rPr>
        <w:t xml:space="preserve"> metų, ji didesnė negu šalies – </w:t>
      </w:r>
      <w:r w:rsidR="00513280" w:rsidRPr="0090383C">
        <w:rPr>
          <w:rFonts w:ascii="Times New Roman" w:hAnsi="Times New Roman"/>
          <w:sz w:val="24"/>
          <w:szCs w:val="24"/>
          <w:lang w:eastAsia="lt-LT"/>
        </w:rPr>
        <w:t>75,91</w:t>
      </w:r>
      <w:r w:rsidRPr="0090383C">
        <w:rPr>
          <w:rFonts w:ascii="Times New Roman" w:hAnsi="Times New Roman"/>
          <w:sz w:val="24"/>
          <w:szCs w:val="24"/>
          <w:lang w:eastAsia="lt-LT"/>
        </w:rPr>
        <w:t xml:space="preserve"> metai.</w:t>
      </w:r>
    </w:p>
    <w:p w:rsidR="00A81C80" w:rsidRPr="0090383C" w:rsidRDefault="00A81C80" w:rsidP="00A81C80">
      <w:pPr>
        <w:pStyle w:val="Default"/>
        <w:jc w:val="both"/>
        <w:rPr>
          <w:color w:val="auto"/>
        </w:rPr>
      </w:pPr>
      <w:r w:rsidRPr="0090383C">
        <w:rPr>
          <w:color w:val="FF0000"/>
        </w:rPr>
        <w:tab/>
      </w:r>
      <w:r w:rsidR="00410868" w:rsidRPr="0090383C">
        <w:rPr>
          <w:color w:val="auto"/>
        </w:rPr>
        <w:t>Per pastaruosius paskutinius metus</w:t>
      </w:r>
      <w:r w:rsidRPr="0090383C">
        <w:rPr>
          <w:color w:val="auto"/>
        </w:rPr>
        <w:t xml:space="preserve"> </w:t>
      </w:r>
      <w:r w:rsidR="00410868" w:rsidRPr="0090383C">
        <w:rPr>
          <w:color w:val="auto"/>
        </w:rPr>
        <w:t>v</w:t>
      </w:r>
      <w:r w:rsidRPr="0090383C">
        <w:rPr>
          <w:color w:val="auto"/>
        </w:rPr>
        <w:t>eikian</w:t>
      </w:r>
      <w:r w:rsidR="00955B5C" w:rsidRPr="0090383C">
        <w:rPr>
          <w:color w:val="auto"/>
        </w:rPr>
        <w:t xml:space="preserve">čių ūkio subjektų  skaičius </w:t>
      </w:r>
      <w:r w:rsidR="005E57CE" w:rsidRPr="0090383C">
        <w:rPr>
          <w:color w:val="auto"/>
        </w:rPr>
        <w:t>nežymiai augo</w:t>
      </w:r>
      <w:r w:rsidR="00410868" w:rsidRPr="0090383C">
        <w:rPr>
          <w:color w:val="auto"/>
        </w:rPr>
        <w:t xml:space="preserve">, veikiančių įmonių skaičius </w:t>
      </w:r>
      <w:r w:rsidR="005E57CE" w:rsidRPr="0090383C">
        <w:rPr>
          <w:color w:val="auto"/>
        </w:rPr>
        <w:t>augo</w:t>
      </w:r>
      <w:r w:rsidR="006F57D3" w:rsidRPr="0090383C">
        <w:rPr>
          <w:color w:val="auto"/>
        </w:rPr>
        <w:t xml:space="preserve"> </w:t>
      </w:r>
      <w:r w:rsidR="005E57CE" w:rsidRPr="0090383C">
        <w:rPr>
          <w:color w:val="auto"/>
        </w:rPr>
        <w:t>1,7</w:t>
      </w:r>
      <w:r w:rsidR="00410868" w:rsidRPr="0090383C">
        <w:rPr>
          <w:color w:val="auto"/>
        </w:rPr>
        <w:t xml:space="preserve"> proc. </w:t>
      </w:r>
      <w:r w:rsidR="00653A48" w:rsidRPr="0090383C">
        <w:rPr>
          <w:color w:val="auto"/>
        </w:rPr>
        <w:t>(žr. 9</w:t>
      </w:r>
      <w:r w:rsidRPr="0090383C">
        <w:rPr>
          <w:color w:val="auto"/>
        </w:rPr>
        <w:t xml:space="preserve"> pav.). Gyventojų verslumo koeficientas </w:t>
      </w:r>
      <w:r w:rsidR="00955B5C" w:rsidRPr="0090383C">
        <w:rPr>
          <w:color w:val="auto"/>
        </w:rPr>
        <w:t>– 28</w:t>
      </w:r>
      <w:r w:rsidRPr="0090383C">
        <w:rPr>
          <w:color w:val="auto"/>
        </w:rPr>
        <w:t xml:space="preserve"> (tūkstančiui gyventojų teko </w:t>
      </w:r>
      <w:r w:rsidR="00955B5C" w:rsidRPr="0090383C">
        <w:rPr>
          <w:color w:val="auto"/>
        </w:rPr>
        <w:t>28  ūkio subjektai</w:t>
      </w:r>
      <w:r w:rsidRPr="0090383C">
        <w:rPr>
          <w:color w:val="auto"/>
        </w:rPr>
        <w:t xml:space="preserve">). Alytaus mieste labiausiai išplėtotos ekonominės veiklos sritys, sukuriančios didžiausią pridėtinę vertę, yra didmeninės ir mažmeninės prekybos, transporto prekybos ir remonto, apgyvendinimo ir maitinimo paslaugų veikla (apie 30 proc.), pramonė (apie 21 proc.), viešasis valdymas, švietimas, sveikatos priežiūra ir socialinis darbas (apie 16 proc.),  nekilnojamo turto operacijos (apie 8 proc.) ir statyba (apie 10 proc.). </w:t>
      </w:r>
    </w:p>
    <w:p w:rsidR="00410868" w:rsidRPr="0090383C" w:rsidRDefault="00A81C80" w:rsidP="00A81C80">
      <w:pPr>
        <w:jc w:val="both"/>
        <w:rPr>
          <w:rFonts w:ascii="Times New Roman" w:hAnsi="Times New Roman"/>
          <w:sz w:val="24"/>
          <w:szCs w:val="24"/>
        </w:rPr>
      </w:pPr>
      <w:r w:rsidRPr="0090383C">
        <w:rPr>
          <w:rFonts w:ascii="Times New Roman" w:hAnsi="Times New Roman"/>
          <w:sz w:val="24"/>
          <w:szCs w:val="24"/>
        </w:rPr>
        <w:lastRenderedPageBreak/>
        <w:tab/>
        <w:t>Mažiausią pridėtinę vertę sukuriantys ekonominės veiklos sektoriai yra administracinė ir aptarnavimo, profesinė ir mokslinė veikla (apie 2 proc.), informacijos ir ryšių veikla (apie 1 proc.), meninė, pramoginė ir poilsio organizavimo veikla (apie 3 proc.), finansinė ir draudimo veikla (apie 1 proc.).</w:t>
      </w:r>
      <w:r w:rsidR="000029FA" w:rsidRPr="0090383C">
        <w:rPr>
          <w:rFonts w:ascii="Times New Roman" w:hAnsi="Times New Roman"/>
          <w:sz w:val="24"/>
          <w:szCs w:val="24"/>
        </w:rPr>
        <w:t xml:space="preserve"> </w:t>
      </w:r>
    </w:p>
    <w:p w:rsidR="00ED2166" w:rsidRPr="0090383C" w:rsidRDefault="00ED2166" w:rsidP="00A81C80">
      <w:pPr>
        <w:jc w:val="both"/>
        <w:rPr>
          <w:rFonts w:ascii="Times New Roman" w:hAnsi="Times New Roman"/>
          <w:sz w:val="24"/>
          <w:szCs w:val="24"/>
        </w:rPr>
      </w:pPr>
    </w:p>
    <w:p w:rsidR="00410868" w:rsidRPr="0090383C" w:rsidRDefault="00707DD7" w:rsidP="004B7F6B">
      <w:pPr>
        <w:ind w:firstLine="1134"/>
        <w:jc w:val="both"/>
        <w:rPr>
          <w:rFonts w:ascii="Times New Roman" w:hAnsi="Times New Roman"/>
          <w:sz w:val="24"/>
          <w:szCs w:val="24"/>
        </w:rPr>
      </w:pPr>
      <w:r w:rsidRPr="0090383C">
        <w:rPr>
          <w:noProof/>
          <w:lang w:eastAsia="lt-LT"/>
        </w:rPr>
        <w:drawing>
          <wp:inline distT="0" distB="0" distL="0" distR="0" wp14:anchorId="7DA502B4" wp14:editId="3E65A428">
            <wp:extent cx="4986338" cy="2233613"/>
            <wp:effectExtent l="0" t="0" r="24130" b="1460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0868" w:rsidRPr="0090383C" w:rsidRDefault="00410868" w:rsidP="00410868">
      <w:pPr>
        <w:ind w:firstLine="1298"/>
        <w:jc w:val="center"/>
        <w:rPr>
          <w:rFonts w:ascii="Times New Roman" w:eastAsia="Times New Roman" w:hAnsi="Times New Roman"/>
          <w:sz w:val="24"/>
          <w:szCs w:val="24"/>
        </w:rPr>
      </w:pPr>
      <w:r w:rsidRPr="0090383C">
        <w:rPr>
          <w:rFonts w:ascii="Times New Roman" w:eastAsia="Times New Roman" w:hAnsi="Times New Roman"/>
          <w:sz w:val="24"/>
          <w:szCs w:val="24"/>
        </w:rPr>
        <w:t xml:space="preserve">9 pav. Veikiančių ūkio subjektų ir veikiančių įmonių skaičius metų pradžioje Alytaus mieste </w:t>
      </w:r>
      <w:r w:rsidR="000249EF" w:rsidRPr="0090383C">
        <w:rPr>
          <w:rFonts w:ascii="Times New Roman" w:eastAsia="Times New Roman" w:hAnsi="Times New Roman"/>
          <w:sz w:val="24"/>
          <w:szCs w:val="24"/>
        </w:rPr>
        <w:t>2016–2019</w:t>
      </w:r>
      <w:r w:rsidRPr="0090383C">
        <w:rPr>
          <w:rFonts w:ascii="Times New Roman" w:eastAsia="Times New Roman" w:hAnsi="Times New Roman"/>
          <w:sz w:val="24"/>
          <w:szCs w:val="24"/>
        </w:rPr>
        <w:t xml:space="preserve"> m.  Šaltinis – Lietuvos statistikos departamentas</w:t>
      </w:r>
    </w:p>
    <w:p w:rsidR="00410868" w:rsidRPr="0090383C" w:rsidRDefault="00410868" w:rsidP="00A81C80">
      <w:pPr>
        <w:jc w:val="both"/>
        <w:rPr>
          <w:rFonts w:ascii="Times New Roman" w:hAnsi="Times New Roman"/>
          <w:sz w:val="24"/>
          <w:szCs w:val="24"/>
        </w:rPr>
      </w:pPr>
    </w:p>
    <w:p w:rsidR="00844AE7" w:rsidRPr="0090383C" w:rsidRDefault="00410868" w:rsidP="00A81C80">
      <w:pPr>
        <w:jc w:val="both"/>
        <w:rPr>
          <w:rFonts w:ascii="Times New Roman" w:hAnsi="Times New Roman"/>
          <w:sz w:val="24"/>
          <w:szCs w:val="24"/>
        </w:rPr>
      </w:pPr>
      <w:r w:rsidRPr="0090383C">
        <w:rPr>
          <w:rFonts w:ascii="Times New Roman" w:hAnsi="Times New Roman"/>
          <w:sz w:val="24"/>
          <w:szCs w:val="24"/>
        </w:rPr>
        <w:tab/>
      </w:r>
      <w:r w:rsidR="004B7F6B" w:rsidRPr="0090383C">
        <w:rPr>
          <w:rFonts w:ascii="Times New Roman" w:hAnsi="Times New Roman"/>
          <w:sz w:val="24"/>
          <w:szCs w:val="24"/>
        </w:rPr>
        <w:t>Nuo</w:t>
      </w:r>
      <w:r w:rsidR="004968ED" w:rsidRPr="0090383C">
        <w:rPr>
          <w:rFonts w:ascii="Times New Roman" w:hAnsi="Times New Roman"/>
          <w:sz w:val="24"/>
          <w:szCs w:val="24"/>
        </w:rPr>
        <w:t xml:space="preserve"> 2017 m.</w:t>
      </w:r>
      <w:r w:rsidR="00317BA3" w:rsidRPr="0090383C">
        <w:rPr>
          <w:rFonts w:ascii="Times New Roman" w:hAnsi="Times New Roman"/>
          <w:sz w:val="24"/>
          <w:szCs w:val="24"/>
        </w:rPr>
        <w:t xml:space="preserve"> veikiančiose įmonėse  s</w:t>
      </w:r>
      <w:r w:rsidRPr="0090383C">
        <w:rPr>
          <w:rFonts w:ascii="Times New Roman" w:hAnsi="Times New Roman"/>
          <w:sz w:val="24"/>
          <w:szCs w:val="24"/>
        </w:rPr>
        <w:t>umažėjo darbuotojų skaičius</w:t>
      </w:r>
      <w:r w:rsidR="00317BA3" w:rsidRPr="0090383C">
        <w:rPr>
          <w:rFonts w:ascii="Times New Roman" w:hAnsi="Times New Roman"/>
          <w:sz w:val="24"/>
          <w:szCs w:val="24"/>
        </w:rPr>
        <w:t xml:space="preserve"> nuo 15</w:t>
      </w:r>
      <w:r w:rsidR="004968ED" w:rsidRPr="0090383C">
        <w:rPr>
          <w:rFonts w:ascii="Times New Roman" w:hAnsi="Times New Roman"/>
          <w:sz w:val="24"/>
          <w:szCs w:val="24"/>
        </w:rPr>
        <w:t xml:space="preserve"> </w:t>
      </w:r>
      <w:r w:rsidR="004B7F6B" w:rsidRPr="0090383C">
        <w:rPr>
          <w:rFonts w:ascii="Times New Roman" w:hAnsi="Times New Roman"/>
          <w:sz w:val="24"/>
          <w:szCs w:val="24"/>
        </w:rPr>
        <w:t>522 darbuotojų iki 14</w:t>
      </w:r>
      <w:r w:rsidR="004968ED" w:rsidRPr="0090383C">
        <w:rPr>
          <w:rFonts w:ascii="Times New Roman" w:hAnsi="Times New Roman"/>
          <w:sz w:val="24"/>
          <w:szCs w:val="24"/>
        </w:rPr>
        <w:t xml:space="preserve"> </w:t>
      </w:r>
      <w:r w:rsidR="004B7F6B" w:rsidRPr="0090383C">
        <w:rPr>
          <w:rFonts w:ascii="Times New Roman" w:hAnsi="Times New Roman"/>
          <w:sz w:val="24"/>
          <w:szCs w:val="24"/>
        </w:rPr>
        <w:t>97</w:t>
      </w:r>
      <w:r w:rsidR="00317BA3" w:rsidRPr="0090383C">
        <w:rPr>
          <w:rFonts w:ascii="Times New Roman" w:hAnsi="Times New Roman"/>
          <w:sz w:val="24"/>
          <w:szCs w:val="24"/>
        </w:rPr>
        <w:t>7 darbuotojų.</w:t>
      </w:r>
      <w:r w:rsidRPr="0090383C">
        <w:rPr>
          <w:rFonts w:ascii="Times New Roman" w:hAnsi="Times New Roman"/>
          <w:sz w:val="24"/>
          <w:szCs w:val="24"/>
        </w:rPr>
        <w:t xml:space="preserve"> (žr. 10 pav.) </w:t>
      </w:r>
      <w:r w:rsidR="009805BD" w:rsidRPr="0090383C">
        <w:rPr>
          <w:rFonts w:ascii="Times New Roman" w:hAnsi="Times New Roman"/>
          <w:sz w:val="24"/>
          <w:szCs w:val="24"/>
        </w:rPr>
        <w:t>Mieste yra 1</w:t>
      </w:r>
      <w:r w:rsidR="004968ED" w:rsidRPr="0090383C">
        <w:rPr>
          <w:rFonts w:ascii="Times New Roman" w:hAnsi="Times New Roman"/>
          <w:sz w:val="24"/>
          <w:szCs w:val="24"/>
        </w:rPr>
        <w:t xml:space="preserve"> </w:t>
      </w:r>
      <w:r w:rsidR="009805BD" w:rsidRPr="0090383C">
        <w:rPr>
          <w:rFonts w:ascii="Times New Roman" w:hAnsi="Times New Roman"/>
          <w:sz w:val="24"/>
          <w:szCs w:val="24"/>
        </w:rPr>
        <w:t>0</w:t>
      </w:r>
      <w:r w:rsidR="0003634D" w:rsidRPr="0090383C">
        <w:rPr>
          <w:rFonts w:ascii="Times New Roman" w:hAnsi="Times New Roman"/>
          <w:sz w:val="24"/>
          <w:szCs w:val="24"/>
        </w:rPr>
        <w:t>15</w:t>
      </w:r>
      <w:r w:rsidR="000029FA" w:rsidRPr="0090383C">
        <w:rPr>
          <w:rFonts w:ascii="Times New Roman" w:hAnsi="Times New Roman"/>
          <w:sz w:val="24"/>
          <w:szCs w:val="24"/>
        </w:rPr>
        <w:t xml:space="preserve"> darbuotojų, dirbančių valstybės tarnyboje. Tai sudaro 0,02</w:t>
      </w:r>
      <w:r w:rsidR="00B83537" w:rsidRPr="0090383C">
        <w:rPr>
          <w:rFonts w:ascii="Times New Roman" w:hAnsi="Times New Roman"/>
          <w:sz w:val="24"/>
          <w:szCs w:val="24"/>
        </w:rPr>
        <w:t xml:space="preserve"> proc.</w:t>
      </w:r>
      <w:r w:rsidR="000029FA" w:rsidRPr="0090383C">
        <w:rPr>
          <w:rFonts w:ascii="Times New Roman" w:hAnsi="Times New Roman"/>
          <w:sz w:val="24"/>
          <w:szCs w:val="24"/>
        </w:rPr>
        <w:t xml:space="preserve"> nuo visų gyventojų.</w:t>
      </w:r>
      <w:r w:rsidR="00B83537" w:rsidRPr="0090383C">
        <w:rPr>
          <w:rFonts w:ascii="Times New Roman" w:hAnsi="Times New Roman"/>
          <w:sz w:val="24"/>
          <w:szCs w:val="24"/>
        </w:rPr>
        <w:t xml:space="preserve"> (Įstaigose, pavaldžiose Teisingumo ministerijai</w:t>
      </w:r>
      <w:r w:rsidR="00F07884" w:rsidRPr="0090383C">
        <w:rPr>
          <w:rFonts w:ascii="Times New Roman" w:hAnsi="Times New Roman"/>
          <w:sz w:val="24"/>
          <w:szCs w:val="24"/>
        </w:rPr>
        <w:t>,</w:t>
      </w:r>
      <w:r w:rsidR="00B83537" w:rsidRPr="0090383C">
        <w:rPr>
          <w:rFonts w:ascii="Times New Roman" w:hAnsi="Times New Roman"/>
          <w:sz w:val="24"/>
          <w:szCs w:val="24"/>
        </w:rPr>
        <w:t xml:space="preserve"> dirba 29,1 proc., Socialinės apsau</w:t>
      </w:r>
      <w:r w:rsidR="009805BD" w:rsidRPr="0090383C">
        <w:rPr>
          <w:rFonts w:ascii="Times New Roman" w:hAnsi="Times New Roman"/>
          <w:sz w:val="24"/>
          <w:szCs w:val="24"/>
        </w:rPr>
        <w:t>gos ir darbo ministerijai – 27,4</w:t>
      </w:r>
      <w:r w:rsidR="006B6506" w:rsidRPr="0090383C">
        <w:rPr>
          <w:rFonts w:ascii="Times New Roman" w:hAnsi="Times New Roman"/>
          <w:sz w:val="24"/>
          <w:szCs w:val="24"/>
        </w:rPr>
        <w:t xml:space="preserve"> </w:t>
      </w:r>
      <w:r w:rsidR="00B83537" w:rsidRPr="0090383C">
        <w:rPr>
          <w:rFonts w:ascii="Times New Roman" w:hAnsi="Times New Roman"/>
          <w:sz w:val="24"/>
          <w:szCs w:val="24"/>
        </w:rPr>
        <w:t>proc., savivaldybių institucijose ir įstaigose – 17,4 proc., įstaigose, pavaldžiose Vi</w:t>
      </w:r>
      <w:r w:rsidR="009805BD" w:rsidRPr="0090383C">
        <w:rPr>
          <w:rFonts w:ascii="Times New Roman" w:hAnsi="Times New Roman"/>
          <w:sz w:val="24"/>
          <w:szCs w:val="24"/>
        </w:rPr>
        <w:t>daus reikalų ministerijai – 12,5</w:t>
      </w:r>
      <w:r w:rsidR="00B83537" w:rsidRPr="0090383C">
        <w:rPr>
          <w:rFonts w:ascii="Times New Roman" w:hAnsi="Times New Roman"/>
          <w:sz w:val="24"/>
          <w:szCs w:val="24"/>
        </w:rPr>
        <w:t xml:space="preserve"> proc.</w:t>
      </w:r>
      <w:r w:rsidR="006B6506" w:rsidRPr="0090383C">
        <w:rPr>
          <w:rFonts w:ascii="Times New Roman" w:hAnsi="Times New Roman"/>
          <w:sz w:val="24"/>
          <w:szCs w:val="24"/>
        </w:rPr>
        <w:t xml:space="preserve"> Aplinkos ministerijai, Krašto apsaugos ministerijai pavaldžiose įstaigose, teismuose ir prokuratūroje, </w:t>
      </w:r>
      <w:r w:rsidR="009805BD" w:rsidRPr="0090383C">
        <w:rPr>
          <w:rFonts w:ascii="Times New Roman" w:hAnsi="Times New Roman"/>
          <w:sz w:val="24"/>
          <w:szCs w:val="24"/>
        </w:rPr>
        <w:t>d</w:t>
      </w:r>
      <w:r w:rsidR="006B6506" w:rsidRPr="0090383C">
        <w:rPr>
          <w:rFonts w:ascii="Times New Roman" w:hAnsi="Times New Roman"/>
          <w:sz w:val="24"/>
          <w:szCs w:val="24"/>
        </w:rPr>
        <w:t>irba</w:t>
      </w:r>
      <w:r w:rsidR="00F27EC4" w:rsidRPr="0090383C">
        <w:rPr>
          <w:rFonts w:ascii="Times New Roman" w:hAnsi="Times New Roman"/>
          <w:sz w:val="24"/>
          <w:szCs w:val="24"/>
        </w:rPr>
        <w:t xml:space="preserve"> 13,6 proc valstybės tarnautojų)</w:t>
      </w:r>
      <w:r w:rsidR="006B6506" w:rsidRPr="0090383C">
        <w:rPr>
          <w:rFonts w:ascii="Times New Roman" w:hAnsi="Times New Roman"/>
          <w:sz w:val="24"/>
          <w:szCs w:val="24"/>
        </w:rPr>
        <w:t>.</w:t>
      </w:r>
    </w:p>
    <w:p w:rsidR="004B7F6B" w:rsidRPr="0090383C" w:rsidRDefault="004B7F6B" w:rsidP="00A81C80">
      <w:pPr>
        <w:jc w:val="both"/>
        <w:rPr>
          <w:rFonts w:ascii="Times New Roman" w:hAnsi="Times New Roman"/>
          <w:sz w:val="24"/>
          <w:szCs w:val="24"/>
        </w:rPr>
      </w:pPr>
    </w:p>
    <w:p w:rsidR="00A81C80" w:rsidRPr="0090383C" w:rsidRDefault="00A81C80" w:rsidP="000249EF">
      <w:pPr>
        <w:rPr>
          <w:rFonts w:ascii="Times New Roman" w:hAnsi="Times New Roman"/>
          <w:sz w:val="24"/>
          <w:szCs w:val="24"/>
          <w:lang w:eastAsia="lt-LT"/>
        </w:rPr>
      </w:pPr>
      <w:r w:rsidRPr="0090383C">
        <w:tab/>
      </w:r>
      <w:r w:rsidR="004B7F6B" w:rsidRPr="0090383C">
        <w:rPr>
          <w:noProof/>
          <w:lang w:eastAsia="lt-LT"/>
        </w:rPr>
        <w:drawing>
          <wp:inline distT="0" distB="0" distL="0" distR="0" wp14:anchorId="5C577A9B" wp14:editId="2307719D">
            <wp:extent cx="4572000" cy="2238375"/>
            <wp:effectExtent l="0" t="0" r="19050" b="952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1C80" w:rsidRPr="0090383C" w:rsidRDefault="00317BA3" w:rsidP="00A81C80">
      <w:pPr>
        <w:ind w:firstLine="1298"/>
        <w:jc w:val="center"/>
        <w:rPr>
          <w:rFonts w:ascii="Times New Roman" w:eastAsia="Times New Roman" w:hAnsi="Times New Roman"/>
          <w:sz w:val="24"/>
          <w:szCs w:val="24"/>
        </w:rPr>
      </w:pPr>
      <w:r w:rsidRPr="0090383C">
        <w:rPr>
          <w:rFonts w:ascii="Times New Roman" w:eastAsia="Times New Roman" w:hAnsi="Times New Roman"/>
          <w:sz w:val="24"/>
          <w:szCs w:val="24"/>
        </w:rPr>
        <w:t>10</w:t>
      </w:r>
      <w:r w:rsidR="00410868" w:rsidRPr="0090383C">
        <w:rPr>
          <w:rFonts w:ascii="Times New Roman" w:eastAsia="Times New Roman" w:hAnsi="Times New Roman"/>
          <w:sz w:val="24"/>
          <w:szCs w:val="24"/>
        </w:rPr>
        <w:t xml:space="preserve"> pav. </w:t>
      </w:r>
      <w:r w:rsidRPr="0090383C">
        <w:rPr>
          <w:rFonts w:ascii="Times New Roman" w:eastAsia="Times New Roman" w:hAnsi="Times New Roman"/>
          <w:sz w:val="24"/>
          <w:szCs w:val="24"/>
        </w:rPr>
        <w:t>Darbuotojų skaičius veikiančiose įmonėse</w:t>
      </w:r>
      <w:r w:rsidR="00A81C80" w:rsidRPr="0090383C">
        <w:rPr>
          <w:rFonts w:ascii="Times New Roman" w:eastAsia="Times New Roman" w:hAnsi="Times New Roman"/>
          <w:sz w:val="24"/>
          <w:szCs w:val="24"/>
        </w:rPr>
        <w:t xml:space="preserve"> </w:t>
      </w:r>
      <w:r w:rsidR="00EC7006" w:rsidRPr="0090383C">
        <w:rPr>
          <w:rFonts w:ascii="Times New Roman" w:eastAsia="Times New Roman" w:hAnsi="Times New Roman"/>
          <w:sz w:val="24"/>
          <w:szCs w:val="24"/>
        </w:rPr>
        <w:t xml:space="preserve">metų pradžioje </w:t>
      </w:r>
      <w:r w:rsidR="001679D6" w:rsidRPr="0090383C">
        <w:rPr>
          <w:rFonts w:ascii="Times New Roman" w:eastAsia="Times New Roman" w:hAnsi="Times New Roman"/>
          <w:sz w:val="24"/>
          <w:szCs w:val="24"/>
        </w:rPr>
        <w:t xml:space="preserve">Alytaus mieste </w:t>
      </w:r>
      <w:r w:rsidR="004B7F6B" w:rsidRPr="0090383C">
        <w:rPr>
          <w:rFonts w:ascii="Times New Roman" w:eastAsia="Times New Roman" w:hAnsi="Times New Roman"/>
          <w:sz w:val="24"/>
          <w:szCs w:val="24"/>
        </w:rPr>
        <w:t>2015–2019</w:t>
      </w:r>
      <w:r w:rsidR="00A81C80" w:rsidRPr="0090383C">
        <w:rPr>
          <w:rFonts w:ascii="Times New Roman" w:eastAsia="Times New Roman" w:hAnsi="Times New Roman"/>
          <w:sz w:val="24"/>
          <w:szCs w:val="24"/>
        </w:rPr>
        <w:t xml:space="preserve"> m.</w:t>
      </w:r>
      <w:r w:rsidR="00EC7006" w:rsidRPr="0090383C">
        <w:rPr>
          <w:rFonts w:ascii="Times New Roman" w:eastAsia="Times New Roman" w:hAnsi="Times New Roman"/>
          <w:sz w:val="24"/>
          <w:szCs w:val="24"/>
        </w:rPr>
        <w:t xml:space="preserve"> </w:t>
      </w:r>
      <w:r w:rsidR="00A81C80" w:rsidRPr="0090383C">
        <w:rPr>
          <w:rFonts w:ascii="Times New Roman" w:eastAsia="Times New Roman" w:hAnsi="Times New Roman"/>
          <w:sz w:val="24"/>
          <w:szCs w:val="24"/>
        </w:rPr>
        <w:t xml:space="preserve"> Šaltinis – Lietuvos statistikos departamentas</w:t>
      </w:r>
    </w:p>
    <w:p w:rsidR="00A81C80" w:rsidRPr="0090383C" w:rsidRDefault="00A81C80" w:rsidP="00A81C80">
      <w:pPr>
        <w:ind w:firstLine="1298"/>
        <w:jc w:val="both"/>
        <w:rPr>
          <w:rFonts w:ascii="Times New Roman" w:eastAsia="Times New Roman" w:hAnsi="Times New Roman"/>
          <w:sz w:val="24"/>
          <w:szCs w:val="24"/>
        </w:rPr>
      </w:pPr>
    </w:p>
    <w:p w:rsidR="00A81C80" w:rsidRPr="0090383C" w:rsidRDefault="005A2288" w:rsidP="00A81C80">
      <w:pPr>
        <w:ind w:firstLine="1298"/>
        <w:jc w:val="both"/>
        <w:rPr>
          <w:rFonts w:ascii="Times New Roman" w:hAnsi="Times New Roman"/>
          <w:sz w:val="24"/>
          <w:szCs w:val="24"/>
          <w:shd w:val="clear" w:color="auto" w:fill="FFFFFF"/>
          <w:lang w:eastAsia="lt-LT"/>
        </w:rPr>
      </w:pPr>
      <w:r w:rsidRPr="0090383C">
        <w:rPr>
          <w:rFonts w:ascii="Times New Roman" w:hAnsi="Times New Roman"/>
          <w:sz w:val="24"/>
          <w:szCs w:val="24"/>
        </w:rPr>
        <w:t>Aplinkos tarša ir jos prevencija –</w:t>
      </w:r>
      <w:r w:rsidR="00F07884" w:rsidRPr="0090383C">
        <w:rPr>
          <w:rFonts w:ascii="Times New Roman" w:hAnsi="Times New Roman"/>
          <w:sz w:val="24"/>
          <w:szCs w:val="24"/>
        </w:rPr>
        <w:t xml:space="preserve"> miestiečiams </w:t>
      </w:r>
      <w:r w:rsidRPr="0090383C">
        <w:rPr>
          <w:rFonts w:ascii="Times New Roman" w:hAnsi="Times New Roman"/>
          <w:sz w:val="24"/>
          <w:szCs w:val="24"/>
        </w:rPr>
        <w:t>aktuali tema</w:t>
      </w:r>
      <w:r w:rsidRPr="0090383C">
        <w:rPr>
          <w:sz w:val="23"/>
          <w:szCs w:val="23"/>
        </w:rPr>
        <w:t xml:space="preserve">. </w:t>
      </w:r>
      <w:r w:rsidR="00AE38CB" w:rsidRPr="0090383C">
        <w:rPr>
          <w:rFonts w:ascii="Times New Roman" w:hAnsi="Times New Roman"/>
          <w:sz w:val="24"/>
          <w:szCs w:val="24"/>
        </w:rPr>
        <w:t>Aplinkos oro kokybė – tai viena aktualiausių problemų, nes oro tarša žymia dalimi lemia gyvenamosios aplinkos kokybę ir gyventojų sveikatos būklę</w:t>
      </w:r>
      <w:r w:rsidR="004968ED" w:rsidRPr="0090383C">
        <w:rPr>
          <w:rFonts w:ascii="Times New Roman" w:hAnsi="Times New Roman"/>
          <w:sz w:val="24"/>
          <w:szCs w:val="24"/>
        </w:rPr>
        <w:t>. Oro kokybės problemas sukelia</w:t>
      </w:r>
      <w:r w:rsidR="00AE38CB" w:rsidRPr="0090383C">
        <w:rPr>
          <w:rFonts w:ascii="Times New Roman" w:hAnsi="Times New Roman"/>
          <w:sz w:val="24"/>
          <w:szCs w:val="24"/>
        </w:rPr>
        <w:t xml:space="preserve"> lokalus oro kokybės pablogėjimas automobilių susitelkimo vietose, senų automobilių gausa miesto gatvėse, neekologiško kuro naudojimas energetikos įmonėse, pasenę </w:t>
      </w:r>
      <w:r w:rsidR="00F07884" w:rsidRPr="0090383C">
        <w:rPr>
          <w:rFonts w:ascii="Times New Roman" w:hAnsi="Times New Roman"/>
          <w:sz w:val="24"/>
          <w:szCs w:val="24"/>
        </w:rPr>
        <w:t xml:space="preserve">pramonės objektų </w:t>
      </w:r>
      <w:r w:rsidR="00AE38CB" w:rsidRPr="0090383C">
        <w:rPr>
          <w:rFonts w:ascii="Times New Roman" w:hAnsi="Times New Roman"/>
          <w:sz w:val="24"/>
          <w:szCs w:val="24"/>
        </w:rPr>
        <w:t xml:space="preserve">oro valymo įrenginiai. </w:t>
      </w:r>
      <w:r w:rsidR="00A81C80" w:rsidRPr="0090383C">
        <w:rPr>
          <w:rFonts w:ascii="Times New Roman" w:hAnsi="Times New Roman"/>
          <w:sz w:val="24"/>
          <w:szCs w:val="24"/>
          <w:shd w:val="clear" w:color="auto" w:fill="FFFFFF"/>
          <w:lang w:eastAsia="lt-LT"/>
        </w:rPr>
        <w:t>Alytaus gamtinės aplinkos kokybė yra vidutiniška – būdinga daugumai  didesnių miestų. B</w:t>
      </w:r>
      <w:r w:rsidR="00A81C80" w:rsidRPr="0090383C">
        <w:rPr>
          <w:rFonts w:ascii="Times New Roman" w:hAnsi="Times New Roman"/>
          <w:sz w:val="24"/>
          <w:szCs w:val="24"/>
        </w:rPr>
        <w:t xml:space="preserve">uvo </w:t>
      </w:r>
      <w:r w:rsidR="004968ED" w:rsidRPr="0090383C">
        <w:rPr>
          <w:rFonts w:ascii="Times New Roman" w:hAnsi="Times New Roman"/>
          <w:sz w:val="24"/>
          <w:szCs w:val="24"/>
        </w:rPr>
        <w:t>tiriama</w:t>
      </w:r>
      <w:r w:rsidR="00A81C80" w:rsidRPr="0090383C">
        <w:rPr>
          <w:rFonts w:ascii="Times New Roman" w:hAnsi="Times New Roman"/>
          <w:sz w:val="24"/>
          <w:szCs w:val="24"/>
        </w:rPr>
        <w:t xml:space="preserve"> NO</w:t>
      </w:r>
      <w:r w:rsidR="00A81C80" w:rsidRPr="0090383C">
        <w:rPr>
          <w:rFonts w:ascii="Times New Roman" w:hAnsi="Times New Roman"/>
          <w:sz w:val="24"/>
          <w:szCs w:val="24"/>
          <w:vertAlign w:val="subscript"/>
        </w:rPr>
        <w:t>2</w:t>
      </w:r>
      <w:r w:rsidR="004968ED" w:rsidRPr="0090383C">
        <w:rPr>
          <w:rFonts w:ascii="Times New Roman" w:hAnsi="Times New Roman"/>
          <w:sz w:val="24"/>
          <w:szCs w:val="24"/>
        </w:rPr>
        <w:t>,</w:t>
      </w:r>
      <w:r w:rsidR="00A81C80" w:rsidRPr="0090383C">
        <w:rPr>
          <w:rFonts w:ascii="Times New Roman" w:hAnsi="Times New Roman"/>
          <w:sz w:val="24"/>
          <w:szCs w:val="24"/>
        </w:rPr>
        <w:t xml:space="preserve"> SO</w:t>
      </w:r>
      <w:r w:rsidR="00A81C80" w:rsidRPr="0090383C">
        <w:rPr>
          <w:rFonts w:ascii="Times New Roman" w:hAnsi="Times New Roman"/>
          <w:sz w:val="24"/>
          <w:szCs w:val="24"/>
          <w:vertAlign w:val="subscript"/>
        </w:rPr>
        <w:t>2</w:t>
      </w:r>
      <w:r w:rsidR="00A81C80" w:rsidRPr="0090383C">
        <w:rPr>
          <w:rFonts w:ascii="Times New Roman" w:hAnsi="Times New Roman"/>
          <w:sz w:val="24"/>
          <w:szCs w:val="24"/>
        </w:rPr>
        <w:t xml:space="preserve"> </w:t>
      </w:r>
      <w:r w:rsidR="004968ED" w:rsidRPr="0090383C">
        <w:rPr>
          <w:rFonts w:ascii="Times New Roman" w:hAnsi="Times New Roman"/>
          <w:sz w:val="24"/>
          <w:szCs w:val="24"/>
        </w:rPr>
        <w:t>ir</w:t>
      </w:r>
      <w:r w:rsidR="00A81C80" w:rsidRPr="0090383C">
        <w:rPr>
          <w:rFonts w:ascii="Times New Roman" w:hAnsi="Times New Roman"/>
          <w:sz w:val="24"/>
          <w:szCs w:val="24"/>
        </w:rPr>
        <w:t xml:space="preserve"> KD</w:t>
      </w:r>
      <w:r w:rsidR="00A81C80" w:rsidRPr="0090383C">
        <w:rPr>
          <w:rFonts w:ascii="Times New Roman" w:hAnsi="Times New Roman"/>
          <w:sz w:val="24"/>
          <w:szCs w:val="24"/>
          <w:vertAlign w:val="subscript"/>
        </w:rPr>
        <w:t>10</w:t>
      </w:r>
      <w:r w:rsidR="004968ED" w:rsidRPr="0090383C">
        <w:rPr>
          <w:rFonts w:ascii="Times New Roman" w:hAnsi="Times New Roman"/>
          <w:sz w:val="24"/>
          <w:szCs w:val="24"/>
        </w:rPr>
        <w:t xml:space="preserve"> koncentracija</w:t>
      </w:r>
      <w:r w:rsidR="00A81C80" w:rsidRPr="0090383C">
        <w:rPr>
          <w:sz w:val="23"/>
          <w:szCs w:val="23"/>
        </w:rPr>
        <w:t xml:space="preserve">. </w:t>
      </w:r>
      <w:r w:rsidR="00A81C80" w:rsidRPr="0090383C">
        <w:rPr>
          <w:rFonts w:ascii="Times New Roman" w:hAnsi="Times New Roman"/>
          <w:sz w:val="24"/>
          <w:szCs w:val="24"/>
          <w:shd w:val="clear" w:color="auto" w:fill="FFFFFF"/>
          <w:lang w:eastAsia="lt-LT"/>
        </w:rPr>
        <w:t xml:space="preserve">Atliekant kasmetinę aplinkos stebėseną, užterštų teritorijų ir taškų nenustatoma. </w:t>
      </w:r>
    </w:p>
    <w:p w:rsidR="00A81C80" w:rsidRPr="0090383C" w:rsidRDefault="00A81C80" w:rsidP="00A81C80">
      <w:pPr>
        <w:ind w:firstLine="1298"/>
        <w:jc w:val="both"/>
        <w:rPr>
          <w:rFonts w:ascii="Times New Roman" w:hAnsi="Times New Roman"/>
          <w:sz w:val="24"/>
          <w:szCs w:val="24"/>
          <w:lang w:eastAsia="lt-LT"/>
        </w:rPr>
      </w:pPr>
      <w:r w:rsidRPr="0090383C">
        <w:rPr>
          <w:rFonts w:ascii="Times New Roman" w:hAnsi="Times New Roman"/>
          <w:sz w:val="24"/>
          <w:szCs w:val="24"/>
          <w:shd w:val="clear" w:color="auto" w:fill="FFFFFF"/>
          <w:lang w:eastAsia="lt-LT"/>
        </w:rPr>
        <w:lastRenderedPageBreak/>
        <w:t xml:space="preserve">Siekiant geresnės aplinkos oro kokybės, reikia mažinti eismo srautus, todėl labai svarbu išvystyti susiekimo viešuoju transportu infrastruktūrą bei maršrutus, propaguoti naudojimąsi ne individualiu automobiliu, o viešuoju transportu, pėsčiomis, dviračiu. Lyginant Alytų su kitais Lietuvos miestais, matyti, kad Alytuje viešasis transportas nėra populiarus ir žmonės retai juo naudojasi. </w:t>
      </w:r>
      <w:r w:rsidR="008C407A" w:rsidRPr="0090383C">
        <w:rPr>
          <w:rFonts w:ascii="Times New Roman" w:hAnsi="Times New Roman"/>
          <w:sz w:val="24"/>
          <w:szCs w:val="24"/>
          <w:shd w:val="clear" w:color="auto" w:fill="FFFFFF"/>
          <w:lang w:eastAsia="lt-LT"/>
        </w:rPr>
        <w:t>2018</w:t>
      </w:r>
      <w:r w:rsidRPr="0090383C">
        <w:rPr>
          <w:rFonts w:ascii="Times New Roman" w:hAnsi="Times New Roman"/>
          <w:sz w:val="24"/>
          <w:szCs w:val="24"/>
          <w:shd w:val="clear" w:color="auto" w:fill="FFFFFF"/>
          <w:lang w:eastAsia="lt-LT"/>
        </w:rPr>
        <w:t xml:space="preserve"> m. vienam miesto gyventojui per metus vidutiniškai teko </w:t>
      </w:r>
      <w:r w:rsidR="008C407A" w:rsidRPr="0090383C">
        <w:rPr>
          <w:rFonts w:ascii="Times New Roman" w:hAnsi="Times New Roman"/>
          <w:sz w:val="24"/>
          <w:szCs w:val="24"/>
          <w:shd w:val="clear" w:color="auto" w:fill="FFFFFF"/>
          <w:lang w:eastAsia="lt-LT"/>
        </w:rPr>
        <w:t>52 kelionės</w:t>
      </w:r>
      <w:r w:rsidRPr="0090383C">
        <w:rPr>
          <w:rFonts w:ascii="Times New Roman" w:hAnsi="Times New Roman"/>
          <w:sz w:val="24"/>
          <w:szCs w:val="24"/>
          <w:shd w:val="clear" w:color="auto" w:fill="FFFFFF"/>
          <w:lang w:eastAsia="lt-LT"/>
        </w:rPr>
        <w:t xml:space="preserve"> autobusu. Kituose miestuose šis rodiklis žymiai didesnis (Šiauliuose – </w:t>
      </w:r>
      <w:r w:rsidR="001B477B" w:rsidRPr="0090383C">
        <w:rPr>
          <w:rFonts w:ascii="Times New Roman" w:hAnsi="Times New Roman"/>
          <w:sz w:val="24"/>
          <w:szCs w:val="24"/>
          <w:shd w:val="clear" w:color="auto" w:fill="FFFFFF"/>
          <w:lang w:eastAsia="lt-LT"/>
        </w:rPr>
        <w:t>129</w:t>
      </w:r>
      <w:r w:rsidRPr="0090383C">
        <w:rPr>
          <w:rFonts w:ascii="Times New Roman" w:hAnsi="Times New Roman"/>
          <w:sz w:val="24"/>
          <w:szCs w:val="24"/>
          <w:shd w:val="clear" w:color="auto" w:fill="FFFFFF"/>
          <w:lang w:eastAsia="lt-LT"/>
        </w:rPr>
        <w:t xml:space="preserve">, </w:t>
      </w:r>
      <w:r w:rsidR="008C407A" w:rsidRPr="0090383C">
        <w:rPr>
          <w:rFonts w:ascii="Times New Roman" w:hAnsi="Times New Roman"/>
          <w:sz w:val="24"/>
          <w:szCs w:val="24"/>
          <w:shd w:val="clear" w:color="auto" w:fill="FFFFFF"/>
          <w:lang w:eastAsia="lt-LT"/>
        </w:rPr>
        <w:t>Panevėžyje</w:t>
      </w:r>
      <w:r w:rsidRPr="0090383C">
        <w:rPr>
          <w:rFonts w:ascii="Times New Roman" w:hAnsi="Times New Roman"/>
          <w:sz w:val="24"/>
          <w:szCs w:val="24"/>
          <w:shd w:val="clear" w:color="auto" w:fill="FFFFFF"/>
          <w:lang w:eastAsia="lt-LT"/>
        </w:rPr>
        <w:t xml:space="preserve"> – </w:t>
      </w:r>
      <w:r w:rsidR="001B477B" w:rsidRPr="0090383C">
        <w:rPr>
          <w:rFonts w:ascii="Times New Roman" w:hAnsi="Times New Roman"/>
          <w:sz w:val="24"/>
          <w:szCs w:val="24"/>
          <w:shd w:val="clear" w:color="auto" w:fill="FFFFFF"/>
          <w:lang w:eastAsia="lt-LT"/>
        </w:rPr>
        <w:t>108</w:t>
      </w:r>
      <w:r w:rsidRPr="0090383C">
        <w:rPr>
          <w:rFonts w:ascii="Times New Roman" w:hAnsi="Times New Roman"/>
          <w:sz w:val="24"/>
          <w:szCs w:val="24"/>
          <w:shd w:val="clear" w:color="auto" w:fill="FFFFFF"/>
          <w:lang w:eastAsia="lt-LT"/>
        </w:rPr>
        <w:t>).</w:t>
      </w:r>
    </w:p>
    <w:p w:rsidR="00EC7006" w:rsidRPr="0090383C" w:rsidRDefault="00A81C80" w:rsidP="00742C9D">
      <w:pPr>
        <w:ind w:firstLine="1298"/>
        <w:jc w:val="both"/>
        <w:rPr>
          <w:rFonts w:ascii="Times New Roman" w:hAnsi="Times New Roman"/>
          <w:sz w:val="24"/>
          <w:szCs w:val="24"/>
          <w:lang w:eastAsia="lt-LT"/>
        </w:rPr>
      </w:pPr>
      <w:r w:rsidRPr="0090383C">
        <w:rPr>
          <w:rFonts w:ascii="Times New Roman" w:hAnsi="Times New Roman"/>
          <w:sz w:val="24"/>
          <w:szCs w:val="24"/>
          <w:lang w:eastAsia="lt-LT"/>
        </w:rPr>
        <w:t xml:space="preserve">Taip pat labai svarbu pritaikyti susisiekimo infrastruktūrą pėstiesiems, dviratininkams ir sudaryti saugias eismo sąlygas visiems eismo dalyviams. </w:t>
      </w:r>
      <w:r w:rsidR="00E610BD" w:rsidRPr="0090383C">
        <w:rPr>
          <w:rFonts w:ascii="Times New Roman" w:hAnsi="Times New Roman"/>
          <w:sz w:val="24"/>
          <w:szCs w:val="24"/>
          <w:lang w:eastAsia="lt-LT"/>
        </w:rPr>
        <w:t>2018</w:t>
      </w:r>
      <w:r w:rsidR="0017371C" w:rsidRPr="0090383C">
        <w:rPr>
          <w:rFonts w:ascii="Times New Roman" w:hAnsi="Times New Roman"/>
          <w:sz w:val="24"/>
          <w:szCs w:val="24"/>
          <w:lang w:eastAsia="lt-LT"/>
        </w:rPr>
        <w:t xml:space="preserve"> m. Alytuje įregistruoti </w:t>
      </w:r>
      <w:r w:rsidR="00E610BD" w:rsidRPr="0090383C">
        <w:rPr>
          <w:rFonts w:ascii="Times New Roman" w:hAnsi="Times New Roman"/>
          <w:sz w:val="24"/>
          <w:szCs w:val="24"/>
          <w:lang w:eastAsia="lt-LT"/>
        </w:rPr>
        <w:t>45</w:t>
      </w:r>
      <w:r w:rsidR="0017371C" w:rsidRPr="0090383C">
        <w:rPr>
          <w:rFonts w:ascii="Times New Roman" w:hAnsi="Times New Roman"/>
          <w:sz w:val="24"/>
          <w:szCs w:val="24"/>
          <w:lang w:eastAsia="lt-LT"/>
        </w:rPr>
        <w:t xml:space="preserve"> eismo įvykiai.</w:t>
      </w:r>
      <w:r w:rsidRPr="0090383C">
        <w:rPr>
          <w:rFonts w:ascii="Times New Roman" w:hAnsi="Times New Roman"/>
          <w:sz w:val="24"/>
          <w:szCs w:val="24"/>
          <w:lang w:eastAsia="lt-LT"/>
        </w:rPr>
        <w:t xml:space="preserve"> </w:t>
      </w:r>
    </w:p>
    <w:p w:rsidR="00A81C80" w:rsidRPr="0090383C" w:rsidRDefault="00A81C80" w:rsidP="00A81C80">
      <w:pPr>
        <w:spacing w:before="100" w:beforeAutospacing="1" w:after="100" w:afterAutospacing="1"/>
        <w:jc w:val="center"/>
        <w:rPr>
          <w:rFonts w:ascii="Times New Roman" w:eastAsia="Times New Roman" w:hAnsi="Times New Roman"/>
          <w:b/>
          <w:bCs/>
          <w:sz w:val="24"/>
          <w:szCs w:val="24"/>
          <w:lang w:eastAsia="lt-LT"/>
        </w:rPr>
      </w:pPr>
      <w:r w:rsidRPr="0090383C">
        <w:rPr>
          <w:rFonts w:ascii="Times New Roman" w:eastAsia="Times New Roman" w:hAnsi="Times New Roman"/>
          <w:b/>
          <w:bCs/>
          <w:sz w:val="24"/>
          <w:szCs w:val="24"/>
          <w:lang w:eastAsia="lt-LT"/>
        </w:rPr>
        <w:t>VEIKSNIAI, SĄLYGOJANTYS MIESTO PLĖTRĄ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F0FDE" w:rsidRPr="0090383C" w:rsidTr="00CC3516">
        <w:tc>
          <w:tcPr>
            <w:tcW w:w="4927" w:type="dxa"/>
            <w:shd w:val="clear" w:color="auto" w:fill="auto"/>
          </w:tcPr>
          <w:p w:rsidR="00A81C80" w:rsidRPr="0090383C" w:rsidRDefault="00A81C80" w:rsidP="00CC3516">
            <w:pPr>
              <w:spacing w:before="100" w:beforeAutospacing="1" w:after="100" w:afterAutospacing="1"/>
              <w:jc w:val="center"/>
              <w:rPr>
                <w:rFonts w:ascii="Times New Roman" w:eastAsia="Times New Roman" w:hAnsi="Times New Roman"/>
                <w:b/>
                <w:bCs/>
                <w:sz w:val="24"/>
                <w:szCs w:val="24"/>
                <w:lang w:eastAsia="lt-LT"/>
              </w:rPr>
            </w:pPr>
            <w:r w:rsidRPr="0090383C">
              <w:rPr>
                <w:rFonts w:ascii="Times New Roman" w:hAnsi="Times New Roman"/>
                <w:b/>
                <w:bCs/>
                <w:sz w:val="24"/>
                <w:szCs w:val="24"/>
              </w:rPr>
              <w:t>Savivaldybės veiklai teigiamą poveikį darantys ir veiklos plėtros galimybes sąlygojantys veiksniai</w:t>
            </w:r>
          </w:p>
        </w:tc>
        <w:tc>
          <w:tcPr>
            <w:tcW w:w="4927" w:type="dxa"/>
            <w:shd w:val="clear" w:color="auto" w:fill="auto"/>
          </w:tcPr>
          <w:p w:rsidR="00A81C80" w:rsidRPr="0090383C" w:rsidRDefault="00A81C80" w:rsidP="00CC3516">
            <w:pPr>
              <w:spacing w:before="100" w:beforeAutospacing="1" w:after="100" w:afterAutospacing="1"/>
              <w:jc w:val="center"/>
              <w:rPr>
                <w:rFonts w:ascii="Times New Roman" w:eastAsia="Times New Roman" w:hAnsi="Times New Roman"/>
                <w:b/>
                <w:bCs/>
                <w:sz w:val="24"/>
                <w:szCs w:val="24"/>
                <w:lang w:eastAsia="lt-LT"/>
              </w:rPr>
            </w:pPr>
            <w:r w:rsidRPr="0090383C">
              <w:rPr>
                <w:rFonts w:ascii="Times New Roman" w:hAnsi="Times New Roman"/>
                <w:b/>
                <w:bCs/>
                <w:sz w:val="24"/>
                <w:szCs w:val="24"/>
              </w:rPr>
              <w:t>Savivaldybės silpnybės ir galimos grėsmės</w:t>
            </w:r>
          </w:p>
        </w:tc>
      </w:tr>
      <w:tr w:rsidR="000F0FDE" w:rsidRPr="0090383C" w:rsidTr="00CC3516">
        <w:tc>
          <w:tcPr>
            <w:tcW w:w="4927" w:type="dxa"/>
            <w:shd w:val="clear" w:color="auto" w:fill="auto"/>
          </w:tcPr>
          <w:p w:rsidR="00A81C80" w:rsidRPr="0090383C" w:rsidRDefault="00A81C80" w:rsidP="00CC3516">
            <w:pPr>
              <w:pStyle w:val="Default"/>
              <w:rPr>
                <w:color w:val="auto"/>
              </w:rPr>
            </w:pPr>
            <w:r w:rsidRPr="0090383C">
              <w:rPr>
                <w:color w:val="auto"/>
              </w:rPr>
              <w:t xml:space="preserve">Pakankamas viešojo sektoriaus aktyvumas ir valdymo srities kompetencija </w:t>
            </w:r>
          </w:p>
        </w:tc>
        <w:tc>
          <w:tcPr>
            <w:tcW w:w="4927" w:type="dxa"/>
            <w:shd w:val="clear" w:color="auto" w:fill="auto"/>
          </w:tcPr>
          <w:p w:rsidR="00A81C80" w:rsidRPr="0090383C" w:rsidRDefault="00A81C80" w:rsidP="00CC3516">
            <w:pPr>
              <w:spacing w:before="100" w:beforeAutospacing="1" w:after="100" w:afterAutospacing="1"/>
              <w:rPr>
                <w:rFonts w:ascii="Times New Roman" w:eastAsia="Times New Roman" w:hAnsi="Times New Roman"/>
                <w:b/>
                <w:bCs/>
                <w:sz w:val="24"/>
                <w:szCs w:val="24"/>
                <w:lang w:eastAsia="lt-LT"/>
              </w:rPr>
            </w:pPr>
            <w:r w:rsidRPr="0090383C">
              <w:rPr>
                <w:rFonts w:ascii="Times New Roman" w:hAnsi="Times New Roman"/>
                <w:sz w:val="24"/>
                <w:szCs w:val="24"/>
              </w:rPr>
              <w:t>Valstybės regioninės plėtros politikos kaita ir nepalankių teisės aktų priėmimas</w:t>
            </w:r>
          </w:p>
        </w:tc>
      </w:tr>
      <w:tr w:rsidR="000F0FDE" w:rsidRPr="0090383C" w:rsidTr="00CC3516">
        <w:tc>
          <w:tcPr>
            <w:tcW w:w="4927" w:type="dxa"/>
            <w:shd w:val="clear" w:color="auto" w:fill="auto"/>
          </w:tcPr>
          <w:p w:rsidR="00A81C80" w:rsidRPr="0090383C" w:rsidRDefault="00A81C80" w:rsidP="00CC3516">
            <w:pPr>
              <w:pStyle w:val="Default"/>
              <w:rPr>
                <w:color w:val="auto"/>
              </w:rPr>
            </w:pPr>
            <w:r w:rsidRPr="0090383C">
              <w:rPr>
                <w:color w:val="auto"/>
              </w:rPr>
              <w:t xml:space="preserve">Pažangių ir inovatyvių veiklos formų, metodų taikymas viešajame ir privačiame sektoriuose </w:t>
            </w:r>
          </w:p>
        </w:tc>
        <w:tc>
          <w:tcPr>
            <w:tcW w:w="4927" w:type="dxa"/>
            <w:shd w:val="clear" w:color="auto" w:fill="auto"/>
          </w:tcPr>
          <w:p w:rsidR="00A81C80" w:rsidRPr="0090383C" w:rsidRDefault="004968ED" w:rsidP="004968ED">
            <w:pPr>
              <w:pStyle w:val="Default"/>
              <w:rPr>
                <w:rFonts w:eastAsia="Times New Roman"/>
                <w:b/>
                <w:bCs/>
                <w:color w:val="auto"/>
              </w:rPr>
            </w:pPr>
            <w:r w:rsidRPr="0090383C">
              <w:rPr>
                <w:color w:val="auto"/>
              </w:rPr>
              <w:t xml:space="preserve"> Administracijos struktūrai</w:t>
            </w:r>
            <w:r w:rsidR="00A81C80" w:rsidRPr="0090383C">
              <w:rPr>
                <w:color w:val="auto"/>
              </w:rPr>
              <w:t>, valstybė</w:t>
            </w:r>
            <w:r w:rsidRPr="0090383C">
              <w:rPr>
                <w:color w:val="auto"/>
              </w:rPr>
              <w:t xml:space="preserve">s tarnautojų ir darbuotojų kaitai bei veiklos kokybei įtaką daro </w:t>
            </w:r>
            <w:r w:rsidR="00A81C80" w:rsidRPr="0090383C">
              <w:rPr>
                <w:color w:val="auto"/>
              </w:rPr>
              <w:t>savivaldybių tarybų rinkimų rezultatai</w:t>
            </w:r>
          </w:p>
        </w:tc>
      </w:tr>
      <w:tr w:rsidR="000F0FDE" w:rsidRPr="0090383C" w:rsidTr="00CC3516">
        <w:tc>
          <w:tcPr>
            <w:tcW w:w="4927" w:type="dxa"/>
            <w:shd w:val="clear" w:color="auto" w:fill="auto"/>
          </w:tcPr>
          <w:p w:rsidR="00A81C80" w:rsidRPr="0090383C" w:rsidRDefault="00A81C80" w:rsidP="00742C9D">
            <w:pPr>
              <w:rPr>
                <w:rFonts w:ascii="Times New Roman" w:eastAsia="Times New Roman" w:hAnsi="Times New Roman"/>
                <w:sz w:val="24"/>
                <w:szCs w:val="24"/>
                <w:lang w:eastAsia="lt-LT"/>
              </w:rPr>
            </w:pPr>
            <w:r w:rsidRPr="0090383C">
              <w:rPr>
                <w:rFonts w:ascii="Times New Roman" w:eastAsia="Times New Roman" w:hAnsi="Times New Roman"/>
                <w:sz w:val="24"/>
                <w:szCs w:val="24"/>
                <w:lang w:eastAsia="lt-LT"/>
              </w:rPr>
              <w:t>Palaikomi glaudūs ryšiai su tarptautinėmis organizacijomis ir užsienio šalių miestais</w:t>
            </w:r>
          </w:p>
        </w:tc>
        <w:tc>
          <w:tcPr>
            <w:tcW w:w="4927" w:type="dxa"/>
            <w:shd w:val="clear" w:color="auto" w:fill="auto"/>
          </w:tcPr>
          <w:p w:rsidR="00A81C80" w:rsidRPr="0090383C" w:rsidRDefault="00A81C80" w:rsidP="00CC3516">
            <w:pPr>
              <w:pStyle w:val="Default"/>
              <w:rPr>
                <w:color w:val="auto"/>
              </w:rPr>
            </w:pPr>
            <w:r w:rsidRPr="0090383C">
              <w:rPr>
                <w:color w:val="auto"/>
              </w:rPr>
              <w:t xml:space="preserve">Europos Sąjungos struktūrinės paramos apimčių mažėjimas </w:t>
            </w:r>
          </w:p>
        </w:tc>
      </w:tr>
      <w:tr w:rsidR="000F0FDE" w:rsidRPr="0090383C" w:rsidTr="00CC3516">
        <w:tc>
          <w:tcPr>
            <w:tcW w:w="4927" w:type="dxa"/>
            <w:shd w:val="clear" w:color="auto" w:fill="auto"/>
          </w:tcPr>
          <w:p w:rsidR="00A81C80" w:rsidRPr="0090383C" w:rsidRDefault="00A81C80" w:rsidP="00CC3516">
            <w:pPr>
              <w:pStyle w:val="Default"/>
              <w:rPr>
                <w:color w:val="auto"/>
              </w:rPr>
            </w:pPr>
            <w:r w:rsidRPr="0090383C">
              <w:rPr>
                <w:color w:val="auto"/>
              </w:rPr>
              <w:t>Aktyvios pilietinės ir visuomeninės veiklos, smulkau</w:t>
            </w:r>
            <w:r w:rsidR="004968ED" w:rsidRPr="0090383C">
              <w:rPr>
                <w:color w:val="auto"/>
              </w:rPr>
              <w:t>s ir vidutinio verslo iniciatyvos</w:t>
            </w:r>
            <w:r w:rsidRPr="0090383C">
              <w:rPr>
                <w:color w:val="auto"/>
              </w:rPr>
              <w:t xml:space="preserve"> skatinimas ir rėmimas. Užimtumo darbo rinkoje didinimas </w:t>
            </w:r>
          </w:p>
        </w:tc>
        <w:tc>
          <w:tcPr>
            <w:tcW w:w="4927" w:type="dxa"/>
            <w:shd w:val="clear" w:color="auto" w:fill="auto"/>
          </w:tcPr>
          <w:p w:rsidR="00A81C80" w:rsidRPr="0090383C" w:rsidRDefault="00A81C80" w:rsidP="00CC3516">
            <w:pPr>
              <w:pStyle w:val="Default"/>
              <w:rPr>
                <w:color w:val="auto"/>
              </w:rPr>
            </w:pPr>
            <w:r w:rsidRPr="0090383C">
              <w:rPr>
                <w:color w:val="auto"/>
              </w:rPr>
              <w:t xml:space="preserve">Nepakankamas tiesioginių užsienio ir materialinių investicijų pritraukimas </w:t>
            </w:r>
          </w:p>
          <w:p w:rsidR="00A81C80" w:rsidRPr="0090383C" w:rsidRDefault="00A81C80" w:rsidP="00CC3516">
            <w:pPr>
              <w:pStyle w:val="Default"/>
              <w:rPr>
                <w:rFonts w:eastAsia="Times New Roman"/>
                <w:b/>
                <w:bCs/>
                <w:color w:val="auto"/>
              </w:rPr>
            </w:pPr>
          </w:p>
        </w:tc>
      </w:tr>
      <w:tr w:rsidR="000F0FDE" w:rsidRPr="0090383C" w:rsidTr="00CC3516">
        <w:tc>
          <w:tcPr>
            <w:tcW w:w="4927" w:type="dxa"/>
            <w:shd w:val="clear" w:color="auto" w:fill="auto"/>
          </w:tcPr>
          <w:p w:rsidR="00A81C80" w:rsidRPr="0090383C" w:rsidRDefault="00A81C80" w:rsidP="00CC3516">
            <w:pPr>
              <w:pStyle w:val="Default"/>
              <w:rPr>
                <w:color w:val="auto"/>
              </w:rPr>
            </w:pPr>
            <w:r w:rsidRPr="0090383C">
              <w:rPr>
                <w:color w:val="auto"/>
              </w:rPr>
              <w:t xml:space="preserve">Vykdomos investicijos į viešosios infrastruktūros modernizavimą ir pritaikymą viešosioms bendruomeninėms reikmėms, pastatų / daugiabučių namų energinio efektyvumo didinimą </w:t>
            </w:r>
          </w:p>
        </w:tc>
        <w:tc>
          <w:tcPr>
            <w:tcW w:w="4927" w:type="dxa"/>
            <w:shd w:val="clear" w:color="auto" w:fill="auto"/>
          </w:tcPr>
          <w:p w:rsidR="00A81C80" w:rsidRPr="0090383C" w:rsidRDefault="00A81C80" w:rsidP="00CC3516">
            <w:pPr>
              <w:pStyle w:val="Default"/>
              <w:rPr>
                <w:color w:val="auto"/>
              </w:rPr>
            </w:pPr>
            <w:r w:rsidRPr="0090383C">
              <w:rPr>
                <w:color w:val="auto"/>
              </w:rPr>
              <w:t xml:space="preserve">Mažas verslo sektoriaus konkurencingumas ir investicinės aplinkos patrauklumas </w:t>
            </w:r>
          </w:p>
          <w:p w:rsidR="00A81C80" w:rsidRPr="0090383C" w:rsidRDefault="00A81C80" w:rsidP="00CC3516">
            <w:pPr>
              <w:spacing w:before="100" w:beforeAutospacing="1" w:after="100" w:afterAutospacing="1"/>
              <w:jc w:val="center"/>
              <w:rPr>
                <w:rFonts w:ascii="Times New Roman" w:eastAsia="Times New Roman" w:hAnsi="Times New Roman"/>
                <w:b/>
                <w:bCs/>
                <w:sz w:val="24"/>
                <w:szCs w:val="24"/>
                <w:lang w:eastAsia="lt-LT"/>
              </w:rPr>
            </w:pPr>
          </w:p>
        </w:tc>
      </w:tr>
      <w:tr w:rsidR="000F0FDE" w:rsidRPr="0090383C" w:rsidTr="00CC3516">
        <w:tc>
          <w:tcPr>
            <w:tcW w:w="4927" w:type="dxa"/>
            <w:shd w:val="clear" w:color="auto" w:fill="auto"/>
          </w:tcPr>
          <w:p w:rsidR="00A81C80" w:rsidRPr="0090383C" w:rsidRDefault="00A81C80" w:rsidP="00CC3516">
            <w:pPr>
              <w:pStyle w:val="Default"/>
              <w:rPr>
                <w:color w:val="auto"/>
              </w:rPr>
            </w:pPr>
            <w:r w:rsidRPr="0090383C">
              <w:rPr>
                <w:color w:val="auto"/>
              </w:rPr>
              <w:t>Vykdomos kryptingos investicijos į socialinių paslaugų teikimo, sveikatos priežiūros, švietimo sistemos modernizavimą</w:t>
            </w:r>
          </w:p>
        </w:tc>
        <w:tc>
          <w:tcPr>
            <w:tcW w:w="4927" w:type="dxa"/>
            <w:shd w:val="clear" w:color="auto" w:fill="auto"/>
          </w:tcPr>
          <w:p w:rsidR="00A81C80" w:rsidRPr="0090383C" w:rsidRDefault="00A81C80" w:rsidP="003E6A49">
            <w:pPr>
              <w:spacing w:before="100" w:beforeAutospacing="1" w:after="100" w:afterAutospacing="1"/>
              <w:rPr>
                <w:rFonts w:ascii="Times New Roman" w:eastAsia="Times New Roman" w:hAnsi="Times New Roman"/>
                <w:b/>
                <w:bCs/>
                <w:sz w:val="24"/>
                <w:szCs w:val="24"/>
                <w:lang w:eastAsia="lt-LT"/>
              </w:rPr>
            </w:pPr>
            <w:r w:rsidRPr="0090383C">
              <w:rPr>
                <w:rFonts w:ascii="Times New Roman" w:hAnsi="Times New Roman"/>
                <w:sz w:val="24"/>
                <w:szCs w:val="24"/>
                <w:lang w:eastAsia="lt-LT"/>
              </w:rPr>
              <w:t>Mieste trūksta automobilių stovėjimo vietų. Neišasfaltuotos gatvės, esančios atokiau nuo miesto centro</w:t>
            </w:r>
            <w:r w:rsidR="003E6A49" w:rsidRPr="0090383C">
              <w:rPr>
                <w:rFonts w:ascii="Times New Roman" w:hAnsi="Times New Roman"/>
                <w:sz w:val="24"/>
                <w:szCs w:val="24"/>
                <w:lang w:eastAsia="lt-LT"/>
              </w:rPr>
              <w:t xml:space="preserve"> </w:t>
            </w:r>
          </w:p>
        </w:tc>
      </w:tr>
      <w:tr w:rsidR="000F0FDE" w:rsidRPr="0090383C" w:rsidTr="00CC3516">
        <w:tc>
          <w:tcPr>
            <w:tcW w:w="4927" w:type="dxa"/>
            <w:shd w:val="clear" w:color="auto" w:fill="auto"/>
          </w:tcPr>
          <w:p w:rsidR="00A81C80" w:rsidRPr="0090383C" w:rsidRDefault="00A81C80" w:rsidP="003E6A49">
            <w:pPr>
              <w:pStyle w:val="Default"/>
              <w:rPr>
                <w:color w:val="auto"/>
              </w:rPr>
            </w:pPr>
            <w:r w:rsidRPr="0090383C">
              <w:rPr>
                <w:color w:val="auto"/>
              </w:rPr>
              <w:t>Mažėjantis įvairių socialin</w:t>
            </w:r>
            <w:r w:rsidR="003E6A49" w:rsidRPr="0090383C">
              <w:rPr>
                <w:color w:val="auto"/>
              </w:rPr>
              <w:t>ių išmokų gavimo</w:t>
            </w:r>
            <w:r w:rsidR="004968ED" w:rsidRPr="0090383C">
              <w:rPr>
                <w:color w:val="auto"/>
              </w:rPr>
              <w:t xml:space="preserve"> poreikis</w:t>
            </w:r>
            <w:r w:rsidR="003E6A49" w:rsidRPr="0090383C">
              <w:rPr>
                <w:color w:val="auto"/>
              </w:rPr>
              <w:t>, bet didėjanti</w:t>
            </w:r>
            <w:r w:rsidRPr="0090383C">
              <w:rPr>
                <w:color w:val="auto"/>
              </w:rPr>
              <w:t xml:space="preserve"> socialinių paslaugų </w:t>
            </w:r>
            <w:r w:rsidR="003E6A49" w:rsidRPr="0090383C">
              <w:rPr>
                <w:color w:val="auto"/>
              </w:rPr>
              <w:t xml:space="preserve">įvairovė </w:t>
            </w:r>
            <w:r w:rsidRPr="0090383C">
              <w:rPr>
                <w:color w:val="auto"/>
              </w:rPr>
              <w:t>ir poreikis</w:t>
            </w:r>
          </w:p>
        </w:tc>
        <w:tc>
          <w:tcPr>
            <w:tcW w:w="4927" w:type="dxa"/>
            <w:shd w:val="clear" w:color="auto" w:fill="auto"/>
          </w:tcPr>
          <w:p w:rsidR="00A81C80" w:rsidRPr="0090383C" w:rsidRDefault="00A81C80" w:rsidP="00CC3516">
            <w:pPr>
              <w:pStyle w:val="Default"/>
              <w:rPr>
                <w:color w:val="auto"/>
              </w:rPr>
            </w:pPr>
            <w:r w:rsidRPr="0090383C">
              <w:rPr>
                <w:color w:val="auto"/>
              </w:rPr>
              <w:t>Nepalankios demografinės tendencijos – senstanti visuomenė, sparti emigracija</w:t>
            </w:r>
          </w:p>
        </w:tc>
      </w:tr>
      <w:tr w:rsidR="000F0FDE" w:rsidRPr="0090383C" w:rsidTr="00CC3516">
        <w:tc>
          <w:tcPr>
            <w:tcW w:w="4927" w:type="dxa"/>
            <w:shd w:val="clear" w:color="auto" w:fill="auto"/>
          </w:tcPr>
          <w:p w:rsidR="00A81C80" w:rsidRPr="0090383C" w:rsidRDefault="00A81C80" w:rsidP="00CC3516">
            <w:pPr>
              <w:pStyle w:val="Default"/>
              <w:rPr>
                <w:color w:val="auto"/>
              </w:rPr>
            </w:pPr>
            <w:r w:rsidRPr="0090383C">
              <w:rPr>
                <w:color w:val="auto"/>
              </w:rPr>
              <w:t xml:space="preserve">Patogi ir išskirtinė Alytaus miesto geografinė padėtis, turtinga gamtinė aplinka </w:t>
            </w:r>
          </w:p>
        </w:tc>
        <w:tc>
          <w:tcPr>
            <w:tcW w:w="4927" w:type="dxa"/>
            <w:shd w:val="clear" w:color="auto" w:fill="auto"/>
          </w:tcPr>
          <w:p w:rsidR="00A81C80" w:rsidRPr="0090383C" w:rsidRDefault="00A81C80" w:rsidP="00CC3516">
            <w:pPr>
              <w:pStyle w:val="Default"/>
              <w:rPr>
                <w:color w:val="auto"/>
              </w:rPr>
            </w:pPr>
            <w:r w:rsidRPr="0090383C">
              <w:rPr>
                <w:color w:val="auto"/>
              </w:rPr>
              <w:t xml:space="preserve">Mažos daugiabučių gyvenamųjų namų atnaujinimo apimtys, socialinio būsto fondo trūkumas </w:t>
            </w:r>
          </w:p>
        </w:tc>
      </w:tr>
      <w:tr w:rsidR="000F0FDE" w:rsidRPr="0090383C" w:rsidTr="00CC3516">
        <w:tc>
          <w:tcPr>
            <w:tcW w:w="4927" w:type="dxa"/>
            <w:shd w:val="clear" w:color="auto" w:fill="auto"/>
          </w:tcPr>
          <w:p w:rsidR="00A81C80" w:rsidRPr="0090383C" w:rsidRDefault="00A81C80" w:rsidP="00CC3516">
            <w:pPr>
              <w:tabs>
                <w:tab w:val="left" w:pos="0"/>
                <w:tab w:val="num" w:pos="3498"/>
              </w:tabs>
              <w:jc w:val="both"/>
              <w:rPr>
                <w:rFonts w:ascii="Times New Roman" w:hAnsi="Times New Roman"/>
                <w:sz w:val="24"/>
                <w:szCs w:val="24"/>
              </w:rPr>
            </w:pPr>
            <w:r w:rsidRPr="0090383C">
              <w:rPr>
                <w:rFonts w:ascii="Times New Roman" w:eastAsia="Times New Roman" w:hAnsi="Times New Roman"/>
                <w:sz w:val="24"/>
                <w:szCs w:val="24"/>
              </w:rPr>
              <w:t>Intensyvėjantis gyvenimo tempas ir dėl to augantys vartotojų reikalavimai poilsio kokybei ir infrastruktūrai</w:t>
            </w:r>
          </w:p>
        </w:tc>
        <w:tc>
          <w:tcPr>
            <w:tcW w:w="4927" w:type="dxa"/>
            <w:shd w:val="clear" w:color="auto" w:fill="auto"/>
          </w:tcPr>
          <w:p w:rsidR="00A81C80" w:rsidRPr="0090383C" w:rsidRDefault="00A81C80" w:rsidP="00CC3516">
            <w:pPr>
              <w:pStyle w:val="Default"/>
              <w:rPr>
                <w:color w:val="auto"/>
              </w:rPr>
            </w:pPr>
          </w:p>
        </w:tc>
      </w:tr>
    </w:tbl>
    <w:p w:rsidR="00A81C80" w:rsidRPr="0090383C" w:rsidRDefault="00A81C80" w:rsidP="00A81C80">
      <w:pPr>
        <w:spacing w:before="100" w:beforeAutospacing="1" w:after="100" w:afterAutospacing="1"/>
        <w:jc w:val="center"/>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ALYTAUS MIESTO VYSTYMO PRIORITETAI</w:t>
      </w:r>
    </w:p>
    <w:p w:rsidR="00A81C80" w:rsidRPr="0090383C" w:rsidRDefault="00A81C80" w:rsidP="00942055">
      <w:pPr>
        <w:autoSpaceDE w:val="0"/>
        <w:autoSpaceDN w:val="0"/>
        <w:adjustRightInd w:val="0"/>
        <w:jc w:val="both"/>
        <w:rPr>
          <w:rFonts w:ascii="Times New Roman" w:eastAsiaTheme="minorHAnsi" w:hAnsi="Times New Roman"/>
          <w:sz w:val="24"/>
          <w:szCs w:val="24"/>
        </w:rPr>
      </w:pPr>
      <w:r w:rsidRPr="0090383C">
        <w:rPr>
          <w:rFonts w:ascii="Times New Roman" w:hAnsi="Times New Roman"/>
          <w:sz w:val="24"/>
          <w:szCs w:val="24"/>
          <w:lang w:eastAsia="lt-LT"/>
        </w:rPr>
        <w:tab/>
      </w:r>
      <w:r w:rsidR="00C20DE8" w:rsidRPr="0090383C">
        <w:rPr>
          <w:rFonts w:ascii="Times New Roman" w:eastAsiaTheme="minorHAnsi" w:hAnsi="Times New Roman"/>
          <w:sz w:val="24"/>
          <w:szCs w:val="24"/>
        </w:rPr>
        <w:t>2020–2022</w:t>
      </w:r>
      <w:r w:rsidR="00942055" w:rsidRPr="0090383C">
        <w:rPr>
          <w:rFonts w:ascii="Times New Roman" w:eastAsiaTheme="minorHAnsi" w:hAnsi="Times New Roman"/>
          <w:sz w:val="24"/>
          <w:szCs w:val="24"/>
        </w:rPr>
        <w:t xml:space="preserve"> metais savivaldybės veiklos strategija formuojama ir finansavimo paskirstymas strateginio veiklos plano programoms vykdomas pagal 3 veiklos prioritetus, patvirtintus </w:t>
      </w:r>
      <w:r w:rsidRPr="0090383C">
        <w:rPr>
          <w:rFonts w:ascii="Times New Roman" w:hAnsi="Times New Roman"/>
          <w:sz w:val="24"/>
          <w:szCs w:val="24"/>
          <w:lang w:eastAsia="lt-LT"/>
        </w:rPr>
        <w:t>Alytaus miesto savivaldybės plėtros</w:t>
      </w:r>
      <w:r w:rsidRPr="0090383C">
        <w:rPr>
          <w:rFonts w:ascii="Times New Roman" w:hAnsi="Times New Roman"/>
          <w:b/>
          <w:bCs/>
          <w:sz w:val="24"/>
          <w:szCs w:val="24"/>
          <w:lang w:eastAsia="lt-LT"/>
        </w:rPr>
        <w:t xml:space="preserve"> </w:t>
      </w:r>
      <w:r w:rsidRPr="0090383C">
        <w:rPr>
          <w:rFonts w:ascii="Times New Roman" w:hAnsi="Times New Roman"/>
          <w:bCs/>
          <w:sz w:val="24"/>
          <w:szCs w:val="24"/>
          <w:lang w:eastAsia="lt-LT"/>
        </w:rPr>
        <w:t>iki 2020 metų</w:t>
      </w:r>
      <w:r w:rsidRPr="0090383C">
        <w:rPr>
          <w:rFonts w:ascii="Times New Roman" w:hAnsi="Times New Roman"/>
          <w:b/>
          <w:bCs/>
          <w:sz w:val="24"/>
          <w:szCs w:val="24"/>
          <w:lang w:eastAsia="lt-LT"/>
        </w:rPr>
        <w:t xml:space="preserve"> </w:t>
      </w:r>
      <w:r w:rsidR="00942055" w:rsidRPr="0090383C">
        <w:rPr>
          <w:rFonts w:ascii="Times New Roman" w:hAnsi="Times New Roman"/>
          <w:sz w:val="24"/>
          <w:szCs w:val="24"/>
          <w:lang w:eastAsia="lt-LT"/>
        </w:rPr>
        <w:t>plane:</w:t>
      </w:r>
    </w:p>
    <w:p w:rsidR="00A81C80" w:rsidRPr="0090383C" w:rsidRDefault="00A81C80" w:rsidP="00A81C80">
      <w:pPr>
        <w:jc w:val="both"/>
        <w:rPr>
          <w:rFonts w:ascii="Times New Roman" w:hAnsi="Times New Roman"/>
          <w:sz w:val="24"/>
          <w:szCs w:val="24"/>
          <w:lang w:eastAsia="lt-LT"/>
        </w:rPr>
      </w:pPr>
      <w:r w:rsidRPr="0090383C">
        <w:rPr>
          <w:rFonts w:ascii="Times New Roman" w:hAnsi="Times New Roman"/>
          <w:sz w:val="24"/>
          <w:szCs w:val="24"/>
          <w:lang w:eastAsia="lt-LT"/>
        </w:rPr>
        <w:tab/>
        <w:t>1. Viešųjų paslaugų kokybės ir prieinamumo užtikrinimas, ugdant sumanią, veiklią ir solidarią miesto bendruomenę.</w:t>
      </w:r>
    </w:p>
    <w:p w:rsidR="00A81C80" w:rsidRPr="0090383C" w:rsidRDefault="00A81C80" w:rsidP="00A81C80">
      <w:pPr>
        <w:jc w:val="both"/>
        <w:rPr>
          <w:rFonts w:ascii="Times New Roman" w:hAnsi="Times New Roman"/>
          <w:sz w:val="24"/>
          <w:szCs w:val="24"/>
          <w:lang w:eastAsia="lt-LT"/>
        </w:rPr>
      </w:pPr>
      <w:r w:rsidRPr="0090383C">
        <w:rPr>
          <w:rFonts w:ascii="Times New Roman" w:hAnsi="Times New Roman"/>
          <w:sz w:val="24"/>
          <w:szCs w:val="24"/>
          <w:lang w:eastAsia="lt-LT"/>
        </w:rPr>
        <w:lastRenderedPageBreak/>
        <w:tab/>
        <w:t xml:space="preserve"> 2. Miesto ekonominio augimo skatinimas, didinant verslo konkurencingumą, eksporto apimtis ir gyventojų užimtumą.</w:t>
      </w:r>
    </w:p>
    <w:p w:rsidR="00A81C80" w:rsidRPr="0090383C" w:rsidRDefault="00A81C80" w:rsidP="00A81C80">
      <w:pPr>
        <w:jc w:val="both"/>
        <w:rPr>
          <w:rFonts w:ascii="Times New Roman" w:hAnsi="Times New Roman"/>
          <w:sz w:val="24"/>
          <w:szCs w:val="24"/>
          <w:lang w:eastAsia="lt-LT"/>
        </w:rPr>
      </w:pPr>
      <w:r w:rsidRPr="0090383C">
        <w:rPr>
          <w:rFonts w:ascii="Times New Roman" w:hAnsi="Times New Roman"/>
          <w:sz w:val="24"/>
          <w:szCs w:val="24"/>
          <w:lang w:eastAsia="lt-LT"/>
        </w:rPr>
        <w:tab/>
        <w:t xml:space="preserve"> 3. Darni miesto infrastruktūros plėtra. </w:t>
      </w:r>
    </w:p>
    <w:p w:rsidR="00A81C80" w:rsidRPr="0090383C" w:rsidRDefault="00A81C80" w:rsidP="00E13300">
      <w:pPr>
        <w:ind w:firstLine="1418"/>
        <w:jc w:val="both"/>
        <w:rPr>
          <w:rFonts w:ascii="Times New Roman" w:eastAsia="Times New Roman" w:hAnsi="Times New Roman"/>
          <w:sz w:val="24"/>
          <w:szCs w:val="24"/>
        </w:rPr>
      </w:pPr>
      <w:r w:rsidRPr="0090383C">
        <w:rPr>
          <w:rFonts w:ascii="Times New Roman" w:hAnsi="Times New Roman"/>
          <w:sz w:val="24"/>
          <w:szCs w:val="24"/>
        </w:rPr>
        <w:t xml:space="preserve">Alytaus miesto savivaldybės veiklos rezultatams poveikį darantys siekiai yra glaudžiai susiję ne tik su Alytaus miesto savivaldybės strateginio plėtros plano prioritetinėse srityse nurodytais tikslais ir uždaviniais, bet ir Alytaus miesto savivaldybės </w:t>
      </w:r>
      <w:r w:rsidR="00E13300" w:rsidRPr="0090383C">
        <w:rPr>
          <w:rFonts w:ascii="Times New Roman" w:eastAsia="Times New Roman" w:hAnsi="Times New Roman"/>
          <w:sz w:val="24"/>
          <w:szCs w:val="24"/>
        </w:rPr>
        <w:t xml:space="preserve">lėšomis finansuojamų programų įgyvendinimo sritimis ir prioritetais. </w:t>
      </w:r>
      <w:r w:rsidRPr="0090383C">
        <w:rPr>
          <w:rFonts w:ascii="Times New Roman" w:hAnsi="Times New Roman"/>
          <w:sz w:val="24"/>
          <w:szCs w:val="24"/>
        </w:rPr>
        <w:t>Alytaus miesto savivaldybės strateginio planavimo dokumentai rengiami ir veiklos prioritetai</w:t>
      </w:r>
      <w:r w:rsidR="004968ED" w:rsidRPr="0090383C">
        <w:rPr>
          <w:rFonts w:ascii="Times New Roman" w:hAnsi="Times New Roman"/>
          <w:sz w:val="24"/>
          <w:szCs w:val="24"/>
        </w:rPr>
        <w:t xml:space="preserve"> nustatyti vadovaujantis darnios</w:t>
      </w:r>
      <w:r w:rsidRPr="0090383C">
        <w:rPr>
          <w:rFonts w:ascii="Times New Roman" w:hAnsi="Times New Roman"/>
          <w:sz w:val="24"/>
          <w:szCs w:val="24"/>
        </w:rPr>
        <w:t xml:space="preserve"> miestų plėtros principais.</w:t>
      </w:r>
    </w:p>
    <w:p w:rsidR="00A81C80" w:rsidRPr="0090383C" w:rsidRDefault="00A81C80" w:rsidP="006B6506">
      <w:pPr>
        <w:jc w:val="both"/>
        <w:rPr>
          <w:rFonts w:ascii="Times New Roman" w:hAnsi="Times New Roman"/>
          <w:sz w:val="24"/>
          <w:szCs w:val="24"/>
          <w:lang w:eastAsia="lt-LT"/>
        </w:rPr>
      </w:pPr>
      <w:r w:rsidRPr="0090383C">
        <w:rPr>
          <w:rFonts w:ascii="Times New Roman" w:hAnsi="Times New Roman"/>
          <w:sz w:val="24"/>
          <w:szCs w:val="24"/>
          <w:lang w:eastAsia="lt-LT"/>
        </w:rPr>
        <w:tab/>
        <w:t>Toliau pateikiama informacija, ką Alytaus miesto savivaldybės i</w:t>
      </w:r>
      <w:r w:rsidR="00DC289C" w:rsidRPr="0090383C">
        <w:rPr>
          <w:rFonts w:ascii="Times New Roman" w:hAnsi="Times New Roman"/>
          <w:sz w:val="24"/>
          <w:szCs w:val="24"/>
          <w:lang w:eastAsia="lt-LT"/>
        </w:rPr>
        <w:t>nstitucijos ketina nuveikti 2020–2022</w:t>
      </w:r>
      <w:r w:rsidRPr="0090383C">
        <w:rPr>
          <w:rFonts w:ascii="Times New Roman" w:hAnsi="Times New Roman"/>
          <w:sz w:val="24"/>
          <w:szCs w:val="24"/>
          <w:lang w:eastAsia="lt-LT"/>
        </w:rPr>
        <w:t xml:space="preserve"> m., įgyvendindamos prioritetuose numatytus tikslus, uždavinius ir priemones. </w:t>
      </w:r>
    </w:p>
    <w:p w:rsidR="00A81C80" w:rsidRPr="0090383C" w:rsidRDefault="00A81C80" w:rsidP="00A81C80">
      <w:pPr>
        <w:pStyle w:val="Default"/>
        <w:spacing w:after="9"/>
        <w:ind w:firstLine="1296"/>
        <w:jc w:val="both"/>
        <w:rPr>
          <w:color w:val="auto"/>
          <w:sz w:val="23"/>
          <w:szCs w:val="23"/>
        </w:rPr>
      </w:pPr>
      <w:r w:rsidRPr="0090383C">
        <w:rPr>
          <w:color w:val="auto"/>
          <w:sz w:val="23"/>
          <w:szCs w:val="23"/>
        </w:rPr>
        <w:t>Veiklos prioritetų įgyvendinimas yra siejamas su numatomais strateginiais savivaldybės ekonominės, socialinės plėtros ir valdymo sričių pokyčiais. Jie orientuoti į savivaldybės ekonominio konkurencingumo didinimą, socialinės aplinkos patrauklumą ir gyvenamosios aplinkos gerinimą, verslo subjektų, viešojo sektoriaus institucijų ir įstaigų, nevyriausybinių organizacijų partnerystės ir bendradarbiavimo stiprinimą, v</w:t>
      </w:r>
      <w:r w:rsidR="00DC289C" w:rsidRPr="0090383C">
        <w:rPr>
          <w:color w:val="auto"/>
          <w:sz w:val="23"/>
          <w:szCs w:val="23"/>
        </w:rPr>
        <w:t>aldymo efektyvumo didinimą. 2020–2022</w:t>
      </w:r>
      <w:r w:rsidRPr="0090383C">
        <w:rPr>
          <w:color w:val="auto"/>
          <w:sz w:val="23"/>
          <w:szCs w:val="23"/>
        </w:rPr>
        <w:t xml:space="preserve"> m</w:t>
      </w:r>
      <w:r w:rsidR="00125185" w:rsidRPr="0090383C">
        <w:rPr>
          <w:color w:val="auto"/>
          <w:sz w:val="23"/>
          <w:szCs w:val="23"/>
        </w:rPr>
        <w:t>.</w:t>
      </w:r>
      <w:r w:rsidRPr="0090383C">
        <w:rPr>
          <w:color w:val="auto"/>
          <w:sz w:val="23"/>
          <w:szCs w:val="23"/>
        </w:rPr>
        <w:t xml:space="preserve"> išskiriamos trys pagrindinės sritys, kuriose turi įvykti esminiai pokyčiai: </w:t>
      </w:r>
      <w:r w:rsidR="00942055" w:rsidRPr="0090383C">
        <w:rPr>
          <w:color w:val="auto"/>
          <w:sz w:val="23"/>
          <w:szCs w:val="23"/>
        </w:rPr>
        <w:t>efektyvus viešasis valdymas ir administravimas</w:t>
      </w:r>
      <w:r w:rsidRPr="0090383C">
        <w:rPr>
          <w:color w:val="auto"/>
          <w:sz w:val="23"/>
          <w:szCs w:val="23"/>
        </w:rPr>
        <w:t xml:space="preserve">, konkurencinga ekonomika, saugi ir patogi gyventi aplinka. </w:t>
      </w:r>
    </w:p>
    <w:p w:rsidR="00E904BF" w:rsidRPr="0090383C" w:rsidRDefault="00E904BF" w:rsidP="00A81C80">
      <w:pPr>
        <w:pStyle w:val="Default"/>
        <w:spacing w:after="9"/>
        <w:jc w:val="center"/>
        <w:rPr>
          <w:b/>
          <w:color w:val="auto"/>
          <w:sz w:val="23"/>
          <w:szCs w:val="23"/>
        </w:rPr>
      </w:pPr>
    </w:p>
    <w:p w:rsidR="00A81C80" w:rsidRPr="0090383C" w:rsidRDefault="00DC289C" w:rsidP="00A81C80">
      <w:pPr>
        <w:pStyle w:val="Default"/>
        <w:spacing w:after="9"/>
        <w:jc w:val="center"/>
        <w:rPr>
          <w:b/>
          <w:color w:val="auto"/>
          <w:sz w:val="23"/>
          <w:szCs w:val="23"/>
        </w:rPr>
      </w:pPr>
      <w:r w:rsidRPr="0090383C">
        <w:rPr>
          <w:b/>
          <w:color w:val="auto"/>
          <w:sz w:val="23"/>
          <w:szCs w:val="23"/>
        </w:rPr>
        <w:t>2020–2022</w:t>
      </w:r>
      <w:r w:rsidR="00A81C80" w:rsidRPr="0090383C">
        <w:rPr>
          <w:b/>
          <w:color w:val="auto"/>
          <w:sz w:val="23"/>
          <w:szCs w:val="23"/>
        </w:rPr>
        <w:t xml:space="preserve"> METŲ POKYČIŲ INICIATYV</w:t>
      </w:r>
      <w:r w:rsidR="00125185" w:rsidRPr="0090383C">
        <w:rPr>
          <w:b/>
          <w:color w:val="auto"/>
          <w:sz w:val="23"/>
          <w:szCs w:val="23"/>
        </w:rPr>
        <w:t>A</w:t>
      </w:r>
    </w:p>
    <w:p w:rsidR="00A81C80" w:rsidRPr="0090383C" w:rsidRDefault="00A81C80" w:rsidP="00A81C80">
      <w:pPr>
        <w:pStyle w:val="Default"/>
        <w:spacing w:after="9"/>
        <w:ind w:left="720"/>
        <w:jc w:val="center"/>
        <w:rPr>
          <w:color w:val="auto"/>
          <w:sz w:val="23"/>
          <w:szCs w:val="23"/>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890"/>
        <w:gridCol w:w="4313"/>
        <w:gridCol w:w="1701"/>
      </w:tblGrid>
      <w:tr w:rsidR="008D42D0" w:rsidRPr="0090383C" w:rsidTr="008D42D0">
        <w:tc>
          <w:tcPr>
            <w:tcW w:w="2019" w:type="dxa"/>
            <w:shd w:val="clear" w:color="auto" w:fill="auto"/>
          </w:tcPr>
          <w:p w:rsidR="008D42D0" w:rsidRPr="0090383C" w:rsidRDefault="008D42D0" w:rsidP="00CC3516">
            <w:pPr>
              <w:pStyle w:val="Default"/>
              <w:spacing w:after="9"/>
              <w:jc w:val="center"/>
              <w:rPr>
                <w:color w:val="auto"/>
                <w:sz w:val="22"/>
                <w:szCs w:val="22"/>
              </w:rPr>
            </w:pPr>
            <w:r w:rsidRPr="0090383C">
              <w:rPr>
                <w:color w:val="auto"/>
                <w:sz w:val="22"/>
                <w:szCs w:val="22"/>
              </w:rPr>
              <w:t>Pokyčių kryptys</w:t>
            </w:r>
          </w:p>
        </w:tc>
        <w:tc>
          <w:tcPr>
            <w:tcW w:w="1890" w:type="dxa"/>
          </w:tcPr>
          <w:p w:rsidR="008D42D0" w:rsidRPr="0090383C" w:rsidRDefault="008D42D0" w:rsidP="00CC3516">
            <w:pPr>
              <w:pStyle w:val="Default"/>
              <w:spacing w:after="9"/>
              <w:jc w:val="center"/>
              <w:rPr>
                <w:color w:val="auto"/>
                <w:sz w:val="22"/>
                <w:szCs w:val="22"/>
              </w:rPr>
            </w:pPr>
            <w:r w:rsidRPr="0090383C">
              <w:rPr>
                <w:color w:val="auto"/>
                <w:sz w:val="22"/>
                <w:szCs w:val="22"/>
              </w:rPr>
              <w:t>Pokyčių sritis</w:t>
            </w:r>
          </w:p>
        </w:tc>
        <w:tc>
          <w:tcPr>
            <w:tcW w:w="4313" w:type="dxa"/>
            <w:shd w:val="clear" w:color="auto" w:fill="auto"/>
          </w:tcPr>
          <w:p w:rsidR="008D42D0" w:rsidRPr="0090383C" w:rsidRDefault="008D42D0" w:rsidP="00CC3516">
            <w:pPr>
              <w:pStyle w:val="Default"/>
              <w:spacing w:after="9"/>
              <w:jc w:val="center"/>
              <w:rPr>
                <w:color w:val="auto"/>
                <w:sz w:val="22"/>
                <w:szCs w:val="22"/>
              </w:rPr>
            </w:pPr>
            <w:r w:rsidRPr="0090383C">
              <w:rPr>
                <w:color w:val="auto"/>
                <w:sz w:val="22"/>
                <w:szCs w:val="22"/>
              </w:rPr>
              <w:t>Numatomi darbai</w:t>
            </w:r>
          </w:p>
        </w:tc>
        <w:tc>
          <w:tcPr>
            <w:tcW w:w="1701" w:type="dxa"/>
            <w:shd w:val="clear" w:color="auto" w:fill="auto"/>
          </w:tcPr>
          <w:p w:rsidR="008D42D0" w:rsidRPr="0090383C" w:rsidRDefault="00300BEA" w:rsidP="00CC3516">
            <w:pPr>
              <w:pStyle w:val="Default"/>
              <w:spacing w:after="9"/>
              <w:jc w:val="center"/>
              <w:rPr>
                <w:color w:val="auto"/>
                <w:sz w:val="22"/>
                <w:szCs w:val="22"/>
              </w:rPr>
            </w:pPr>
            <w:r w:rsidRPr="0090383C">
              <w:rPr>
                <w:color w:val="auto"/>
                <w:sz w:val="22"/>
                <w:szCs w:val="22"/>
              </w:rPr>
              <w:t>Laikotarpis</w:t>
            </w:r>
          </w:p>
        </w:tc>
      </w:tr>
      <w:tr w:rsidR="008D42D0" w:rsidRPr="0090383C" w:rsidTr="008D42D0">
        <w:tc>
          <w:tcPr>
            <w:tcW w:w="2019"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03"/>
            </w:tblGrid>
            <w:tr w:rsidR="008D42D0" w:rsidRPr="0090383C" w:rsidTr="00CC3516">
              <w:trPr>
                <w:trHeight w:val="320"/>
              </w:trPr>
              <w:tc>
                <w:tcPr>
                  <w:tcW w:w="0" w:type="auto"/>
                </w:tcPr>
                <w:p w:rsidR="008D42D0" w:rsidRPr="0090383C" w:rsidRDefault="008D42D0" w:rsidP="00CC3516">
                  <w:pPr>
                    <w:pStyle w:val="Default"/>
                    <w:rPr>
                      <w:color w:val="auto"/>
                    </w:rPr>
                  </w:pPr>
                  <w:r w:rsidRPr="0090383C">
                    <w:rPr>
                      <w:color w:val="auto"/>
                    </w:rPr>
                    <w:t xml:space="preserve">Efektyvus viešasis valdymas ir administravimas </w:t>
                  </w:r>
                </w:p>
              </w:tc>
            </w:tr>
          </w:tbl>
          <w:p w:rsidR="008D42D0" w:rsidRPr="0090383C" w:rsidRDefault="008D42D0" w:rsidP="00CC3516">
            <w:pPr>
              <w:pStyle w:val="Default"/>
              <w:spacing w:after="9"/>
              <w:jc w:val="center"/>
              <w:rPr>
                <w:color w:val="auto"/>
              </w:rPr>
            </w:pPr>
          </w:p>
        </w:tc>
        <w:tc>
          <w:tcPr>
            <w:tcW w:w="1890" w:type="dxa"/>
          </w:tcPr>
          <w:p w:rsidR="008D42D0" w:rsidRPr="0090383C" w:rsidRDefault="008D42D0" w:rsidP="00CC3516">
            <w:pPr>
              <w:pStyle w:val="Default"/>
              <w:rPr>
                <w:color w:val="auto"/>
              </w:rPr>
            </w:pPr>
          </w:p>
        </w:tc>
        <w:tc>
          <w:tcPr>
            <w:tcW w:w="4313" w:type="dxa"/>
            <w:shd w:val="clear" w:color="auto" w:fill="auto"/>
          </w:tcPr>
          <w:p w:rsidR="008D42D0" w:rsidRPr="0090383C" w:rsidRDefault="008D42D0" w:rsidP="00CC3516">
            <w:pPr>
              <w:pStyle w:val="Default"/>
              <w:rPr>
                <w:color w:val="auto"/>
              </w:rPr>
            </w:pPr>
            <w:r w:rsidRPr="0090383C">
              <w:rPr>
                <w:color w:val="auto"/>
              </w:rPr>
              <w:t>Optimizuoti  Alytaus miesto švietimo įstaigų tinklą</w:t>
            </w:r>
          </w:p>
        </w:tc>
        <w:tc>
          <w:tcPr>
            <w:tcW w:w="1701" w:type="dxa"/>
            <w:shd w:val="clear" w:color="auto" w:fill="auto"/>
          </w:tcPr>
          <w:p w:rsidR="008D42D0" w:rsidRPr="0090383C" w:rsidRDefault="008D42D0" w:rsidP="00522FAF">
            <w:pPr>
              <w:pStyle w:val="Default"/>
              <w:spacing w:after="9"/>
              <w:rPr>
                <w:color w:val="auto"/>
                <w:sz w:val="23"/>
                <w:szCs w:val="23"/>
              </w:rPr>
            </w:pPr>
            <w:r w:rsidRPr="0090383C">
              <w:rPr>
                <w:color w:val="auto"/>
                <w:sz w:val="23"/>
                <w:szCs w:val="23"/>
              </w:rPr>
              <w:t>2020–2022</w:t>
            </w:r>
          </w:p>
        </w:tc>
      </w:tr>
      <w:tr w:rsidR="008D42D0" w:rsidRPr="0090383C" w:rsidTr="008D42D0">
        <w:tc>
          <w:tcPr>
            <w:tcW w:w="2019" w:type="dxa"/>
            <w:vMerge/>
            <w:shd w:val="clear" w:color="auto" w:fill="auto"/>
          </w:tcPr>
          <w:p w:rsidR="008D42D0" w:rsidRPr="0090383C" w:rsidRDefault="008D42D0" w:rsidP="00CC3516">
            <w:pPr>
              <w:pStyle w:val="Default"/>
              <w:rPr>
                <w:color w:val="auto"/>
              </w:rPr>
            </w:pPr>
          </w:p>
        </w:tc>
        <w:tc>
          <w:tcPr>
            <w:tcW w:w="1890" w:type="dxa"/>
          </w:tcPr>
          <w:p w:rsidR="008D42D0" w:rsidRPr="0090383C" w:rsidRDefault="008D42D0" w:rsidP="00CC3516">
            <w:pPr>
              <w:pStyle w:val="Default"/>
              <w:rPr>
                <w:color w:val="auto"/>
              </w:rPr>
            </w:pPr>
          </w:p>
        </w:tc>
        <w:tc>
          <w:tcPr>
            <w:tcW w:w="4313" w:type="dxa"/>
            <w:shd w:val="clear" w:color="auto" w:fill="auto"/>
          </w:tcPr>
          <w:p w:rsidR="008D42D0" w:rsidRPr="0090383C" w:rsidRDefault="008D42D0" w:rsidP="00CC3516">
            <w:pPr>
              <w:pStyle w:val="Default"/>
              <w:rPr>
                <w:color w:val="auto"/>
              </w:rPr>
            </w:pPr>
            <w:r w:rsidRPr="0090383C">
              <w:rPr>
                <w:color w:val="auto"/>
              </w:rPr>
              <w:t xml:space="preserve">Didinti savivaldybės įmonių, įstaigų ir organizacijų veiklos efektyvumą ir skaidrumą </w:t>
            </w:r>
          </w:p>
        </w:tc>
        <w:tc>
          <w:tcPr>
            <w:tcW w:w="1701" w:type="dxa"/>
            <w:shd w:val="clear" w:color="auto" w:fill="auto"/>
          </w:tcPr>
          <w:p w:rsidR="008D42D0" w:rsidRPr="0090383C" w:rsidRDefault="008D42D0">
            <w:pPr>
              <w:rPr>
                <w:rFonts w:ascii="Times New Roman" w:hAnsi="Times New Roman"/>
                <w:sz w:val="24"/>
                <w:szCs w:val="24"/>
              </w:rPr>
            </w:pPr>
            <w:r w:rsidRPr="0090383C">
              <w:rPr>
                <w:rFonts w:ascii="Times New Roman" w:hAnsi="Times New Roman"/>
                <w:sz w:val="24"/>
                <w:szCs w:val="24"/>
              </w:rPr>
              <w:t>2020–2022</w:t>
            </w:r>
          </w:p>
        </w:tc>
      </w:tr>
      <w:tr w:rsidR="008D42D0" w:rsidRPr="0090383C" w:rsidTr="008D42D0">
        <w:tc>
          <w:tcPr>
            <w:tcW w:w="2019" w:type="dxa"/>
            <w:vMerge/>
            <w:shd w:val="clear" w:color="auto" w:fill="auto"/>
          </w:tcPr>
          <w:p w:rsidR="008D42D0" w:rsidRPr="0090383C" w:rsidRDefault="008D42D0" w:rsidP="00CC3516">
            <w:pPr>
              <w:pStyle w:val="Default"/>
              <w:spacing w:after="9"/>
              <w:jc w:val="center"/>
              <w:rPr>
                <w:color w:val="auto"/>
              </w:rPr>
            </w:pPr>
          </w:p>
        </w:tc>
        <w:tc>
          <w:tcPr>
            <w:tcW w:w="1890" w:type="dxa"/>
          </w:tcPr>
          <w:p w:rsidR="008D42D0" w:rsidRPr="0090383C" w:rsidRDefault="008D42D0" w:rsidP="00CC3516">
            <w:pPr>
              <w:pStyle w:val="Default"/>
              <w:rPr>
                <w:color w:val="auto"/>
              </w:rPr>
            </w:pPr>
          </w:p>
        </w:tc>
        <w:tc>
          <w:tcPr>
            <w:tcW w:w="4313" w:type="dxa"/>
            <w:shd w:val="clear" w:color="auto" w:fill="auto"/>
          </w:tcPr>
          <w:p w:rsidR="008D42D0" w:rsidRPr="0090383C" w:rsidRDefault="008D42D0" w:rsidP="00CC3516">
            <w:pPr>
              <w:pStyle w:val="Default"/>
              <w:rPr>
                <w:color w:val="auto"/>
              </w:rPr>
            </w:pPr>
            <w:r w:rsidRPr="0090383C">
              <w:rPr>
                <w:color w:val="auto"/>
              </w:rPr>
              <w:t>Centralizuoti standartinių paslaugų teikimą savivaldybės įstaigoms</w:t>
            </w:r>
          </w:p>
        </w:tc>
        <w:tc>
          <w:tcPr>
            <w:tcW w:w="1701" w:type="dxa"/>
            <w:shd w:val="clear" w:color="auto" w:fill="auto"/>
          </w:tcPr>
          <w:p w:rsidR="008D42D0" w:rsidRPr="0090383C" w:rsidRDefault="008D42D0">
            <w:pPr>
              <w:rPr>
                <w:rFonts w:ascii="Times New Roman" w:hAnsi="Times New Roman"/>
                <w:sz w:val="24"/>
                <w:szCs w:val="24"/>
              </w:rPr>
            </w:pPr>
            <w:r w:rsidRPr="0090383C">
              <w:rPr>
                <w:rFonts w:ascii="Times New Roman" w:hAnsi="Times New Roman"/>
                <w:sz w:val="24"/>
                <w:szCs w:val="24"/>
              </w:rPr>
              <w:t>2020–2022</w:t>
            </w:r>
          </w:p>
        </w:tc>
      </w:tr>
      <w:tr w:rsidR="008D42D0" w:rsidRPr="0090383C" w:rsidTr="008D42D0">
        <w:tc>
          <w:tcPr>
            <w:tcW w:w="2019" w:type="dxa"/>
            <w:vMerge/>
            <w:shd w:val="clear" w:color="auto" w:fill="auto"/>
          </w:tcPr>
          <w:p w:rsidR="008D42D0" w:rsidRPr="0090383C" w:rsidRDefault="008D42D0" w:rsidP="00CC3516">
            <w:pPr>
              <w:pStyle w:val="Default"/>
              <w:spacing w:after="9"/>
              <w:jc w:val="center"/>
              <w:rPr>
                <w:color w:val="auto"/>
              </w:rPr>
            </w:pPr>
          </w:p>
        </w:tc>
        <w:tc>
          <w:tcPr>
            <w:tcW w:w="1890" w:type="dxa"/>
          </w:tcPr>
          <w:p w:rsidR="008D42D0" w:rsidRPr="0090383C" w:rsidRDefault="008D42D0" w:rsidP="00F22D49">
            <w:pPr>
              <w:pStyle w:val="Default"/>
              <w:rPr>
                <w:color w:val="auto"/>
                <w:sz w:val="23"/>
                <w:szCs w:val="23"/>
              </w:rPr>
            </w:pPr>
          </w:p>
        </w:tc>
        <w:tc>
          <w:tcPr>
            <w:tcW w:w="4313" w:type="dxa"/>
            <w:shd w:val="clear" w:color="auto" w:fill="auto"/>
          </w:tcPr>
          <w:p w:rsidR="008D42D0" w:rsidRPr="0090383C" w:rsidRDefault="008D42D0" w:rsidP="00F22D49">
            <w:pPr>
              <w:pStyle w:val="Default"/>
              <w:rPr>
                <w:color w:val="auto"/>
              </w:rPr>
            </w:pPr>
            <w:r w:rsidRPr="0090383C">
              <w:rPr>
                <w:color w:val="auto"/>
                <w:sz w:val="23"/>
                <w:szCs w:val="23"/>
              </w:rPr>
              <w:t xml:space="preserve"> Skatinti piliečius ir verslo subjektus naudotis savivaldybės teikiamomis elektroninėmis paslaugomis</w:t>
            </w:r>
          </w:p>
        </w:tc>
        <w:tc>
          <w:tcPr>
            <w:tcW w:w="1701" w:type="dxa"/>
            <w:shd w:val="clear" w:color="auto" w:fill="auto"/>
          </w:tcPr>
          <w:p w:rsidR="008D42D0" w:rsidRPr="0090383C" w:rsidRDefault="008D42D0">
            <w:pPr>
              <w:rPr>
                <w:rFonts w:ascii="Times New Roman" w:hAnsi="Times New Roman"/>
                <w:sz w:val="24"/>
                <w:szCs w:val="24"/>
              </w:rPr>
            </w:pPr>
            <w:r w:rsidRPr="0090383C">
              <w:rPr>
                <w:rFonts w:ascii="Times New Roman" w:hAnsi="Times New Roman"/>
                <w:sz w:val="24"/>
                <w:szCs w:val="24"/>
              </w:rPr>
              <w:t>2020–2022</w:t>
            </w:r>
          </w:p>
        </w:tc>
      </w:tr>
      <w:tr w:rsidR="008D42D0" w:rsidRPr="0090383C" w:rsidTr="008D42D0">
        <w:tc>
          <w:tcPr>
            <w:tcW w:w="2019" w:type="dxa"/>
            <w:vMerge/>
            <w:shd w:val="clear" w:color="auto" w:fill="auto"/>
          </w:tcPr>
          <w:p w:rsidR="008D42D0" w:rsidRPr="0090383C" w:rsidRDefault="008D42D0" w:rsidP="00CC3516">
            <w:pPr>
              <w:pStyle w:val="Default"/>
              <w:spacing w:after="9"/>
              <w:jc w:val="center"/>
              <w:rPr>
                <w:color w:val="auto"/>
              </w:rPr>
            </w:pPr>
          </w:p>
        </w:tc>
        <w:tc>
          <w:tcPr>
            <w:tcW w:w="1890" w:type="dxa"/>
          </w:tcPr>
          <w:p w:rsidR="008D42D0" w:rsidRPr="0090383C" w:rsidRDefault="008D42D0" w:rsidP="00125185">
            <w:pPr>
              <w:pStyle w:val="Default"/>
              <w:spacing w:after="9"/>
              <w:rPr>
                <w:color w:val="auto"/>
                <w:sz w:val="23"/>
                <w:szCs w:val="23"/>
              </w:rPr>
            </w:pPr>
          </w:p>
        </w:tc>
        <w:tc>
          <w:tcPr>
            <w:tcW w:w="4313" w:type="dxa"/>
            <w:shd w:val="clear" w:color="auto" w:fill="auto"/>
          </w:tcPr>
          <w:p w:rsidR="008D42D0" w:rsidRPr="0090383C" w:rsidRDefault="008D42D0" w:rsidP="00125185">
            <w:pPr>
              <w:pStyle w:val="Default"/>
              <w:spacing w:after="9"/>
              <w:rPr>
                <w:color w:val="auto"/>
                <w:sz w:val="23"/>
                <w:szCs w:val="23"/>
              </w:rPr>
            </w:pPr>
            <w:r w:rsidRPr="0090383C">
              <w:rPr>
                <w:color w:val="auto"/>
                <w:sz w:val="23"/>
                <w:szCs w:val="23"/>
              </w:rPr>
              <w:t xml:space="preserve"> Modernizuoti Alytaus miesto savivaldybės interneto svetainę (portalą)</w:t>
            </w:r>
          </w:p>
        </w:tc>
        <w:tc>
          <w:tcPr>
            <w:tcW w:w="1701" w:type="dxa"/>
            <w:shd w:val="clear" w:color="auto" w:fill="auto"/>
          </w:tcPr>
          <w:p w:rsidR="008D42D0" w:rsidRPr="0090383C" w:rsidRDefault="008D42D0">
            <w:pPr>
              <w:rPr>
                <w:rFonts w:ascii="Times New Roman" w:hAnsi="Times New Roman"/>
                <w:sz w:val="24"/>
                <w:szCs w:val="24"/>
              </w:rPr>
            </w:pPr>
            <w:r w:rsidRPr="0090383C">
              <w:rPr>
                <w:rFonts w:ascii="Times New Roman" w:hAnsi="Times New Roman"/>
                <w:sz w:val="24"/>
                <w:szCs w:val="24"/>
              </w:rPr>
              <w:t>2020–2022</w:t>
            </w:r>
          </w:p>
        </w:tc>
      </w:tr>
      <w:tr w:rsidR="008D42D0" w:rsidRPr="0090383C" w:rsidTr="008D42D0">
        <w:tc>
          <w:tcPr>
            <w:tcW w:w="2019" w:type="dxa"/>
            <w:vMerge/>
            <w:shd w:val="clear" w:color="auto" w:fill="auto"/>
          </w:tcPr>
          <w:p w:rsidR="008D42D0" w:rsidRPr="0090383C" w:rsidRDefault="008D42D0" w:rsidP="00CC3516">
            <w:pPr>
              <w:pStyle w:val="Default"/>
              <w:spacing w:after="9"/>
              <w:jc w:val="center"/>
              <w:rPr>
                <w:color w:val="auto"/>
                <w:sz w:val="23"/>
                <w:szCs w:val="23"/>
              </w:rPr>
            </w:pPr>
          </w:p>
        </w:tc>
        <w:tc>
          <w:tcPr>
            <w:tcW w:w="1890" w:type="dxa"/>
          </w:tcPr>
          <w:p w:rsidR="008D42D0" w:rsidRPr="0090383C" w:rsidRDefault="008D42D0" w:rsidP="00CC3516">
            <w:pPr>
              <w:pStyle w:val="Default"/>
              <w:spacing w:after="9"/>
              <w:rPr>
                <w:color w:val="auto"/>
                <w:sz w:val="23"/>
                <w:szCs w:val="23"/>
              </w:rPr>
            </w:pPr>
          </w:p>
        </w:tc>
        <w:tc>
          <w:tcPr>
            <w:tcW w:w="4313" w:type="dxa"/>
            <w:shd w:val="clear" w:color="auto" w:fill="auto"/>
          </w:tcPr>
          <w:p w:rsidR="008D42D0" w:rsidRPr="0090383C" w:rsidRDefault="008D42D0" w:rsidP="00CC3516">
            <w:pPr>
              <w:pStyle w:val="Default"/>
              <w:spacing w:after="9"/>
              <w:rPr>
                <w:color w:val="auto"/>
                <w:sz w:val="23"/>
                <w:szCs w:val="23"/>
              </w:rPr>
            </w:pPr>
            <w:r w:rsidRPr="0090383C">
              <w:rPr>
                <w:color w:val="auto"/>
                <w:sz w:val="23"/>
                <w:szCs w:val="23"/>
              </w:rPr>
              <w:t xml:space="preserve"> Reguliariai vykdyti tikslines suinteresuotų šalių pasitenkinimo paslaugomis, savivaldybės vykdoma veikla apklausas, tyrimus</w:t>
            </w:r>
          </w:p>
        </w:tc>
        <w:tc>
          <w:tcPr>
            <w:tcW w:w="1701" w:type="dxa"/>
            <w:shd w:val="clear" w:color="auto" w:fill="auto"/>
          </w:tcPr>
          <w:p w:rsidR="008D42D0" w:rsidRPr="0090383C" w:rsidRDefault="008D42D0">
            <w:pPr>
              <w:rPr>
                <w:rFonts w:ascii="Times New Roman" w:hAnsi="Times New Roman"/>
                <w:sz w:val="24"/>
                <w:szCs w:val="24"/>
              </w:rPr>
            </w:pPr>
            <w:r w:rsidRPr="0090383C">
              <w:rPr>
                <w:rFonts w:ascii="Times New Roman" w:hAnsi="Times New Roman"/>
                <w:sz w:val="24"/>
                <w:szCs w:val="24"/>
              </w:rPr>
              <w:t>2020–2022</w:t>
            </w:r>
          </w:p>
        </w:tc>
      </w:tr>
      <w:tr w:rsidR="008D42D0" w:rsidRPr="0090383C" w:rsidTr="008D42D0">
        <w:tc>
          <w:tcPr>
            <w:tcW w:w="2019" w:type="dxa"/>
            <w:vMerge/>
            <w:shd w:val="clear" w:color="auto" w:fill="auto"/>
          </w:tcPr>
          <w:p w:rsidR="008D42D0" w:rsidRPr="0090383C" w:rsidRDefault="008D42D0" w:rsidP="00CC3516">
            <w:pPr>
              <w:pStyle w:val="Default"/>
              <w:spacing w:after="9"/>
              <w:jc w:val="center"/>
              <w:rPr>
                <w:color w:val="auto"/>
                <w:sz w:val="23"/>
                <w:szCs w:val="23"/>
              </w:rPr>
            </w:pPr>
          </w:p>
        </w:tc>
        <w:tc>
          <w:tcPr>
            <w:tcW w:w="1890" w:type="dxa"/>
          </w:tcPr>
          <w:p w:rsidR="008D42D0" w:rsidRPr="0090383C" w:rsidRDefault="008D42D0" w:rsidP="009C1085">
            <w:pPr>
              <w:pStyle w:val="Default"/>
              <w:rPr>
                <w:color w:val="auto"/>
              </w:rPr>
            </w:pPr>
          </w:p>
        </w:tc>
        <w:tc>
          <w:tcPr>
            <w:tcW w:w="4313" w:type="dxa"/>
            <w:shd w:val="clear" w:color="auto" w:fill="auto"/>
          </w:tcPr>
          <w:p w:rsidR="008D42D0" w:rsidRPr="0090383C" w:rsidRDefault="008D42D0" w:rsidP="009C1085">
            <w:pPr>
              <w:pStyle w:val="Default"/>
              <w:rPr>
                <w:color w:val="auto"/>
              </w:rPr>
            </w:pPr>
            <w:r w:rsidRPr="0090383C">
              <w:rPr>
                <w:color w:val="auto"/>
              </w:rPr>
              <w:t xml:space="preserve">Aktyvinti savivaldybės bendruomenių, NVO, verslo subjektų dalyvavimą priimant sprendimus </w:t>
            </w:r>
          </w:p>
        </w:tc>
        <w:tc>
          <w:tcPr>
            <w:tcW w:w="1701" w:type="dxa"/>
            <w:shd w:val="clear" w:color="auto" w:fill="auto"/>
          </w:tcPr>
          <w:p w:rsidR="008D42D0" w:rsidRPr="0090383C" w:rsidRDefault="008D42D0">
            <w:pPr>
              <w:rPr>
                <w:rFonts w:ascii="Times New Roman" w:hAnsi="Times New Roman"/>
                <w:sz w:val="24"/>
                <w:szCs w:val="24"/>
              </w:rPr>
            </w:pPr>
            <w:r w:rsidRPr="0090383C">
              <w:rPr>
                <w:rFonts w:ascii="Times New Roman" w:hAnsi="Times New Roman"/>
                <w:sz w:val="24"/>
                <w:szCs w:val="24"/>
              </w:rPr>
              <w:t>2020–2022</w:t>
            </w:r>
          </w:p>
        </w:tc>
      </w:tr>
      <w:tr w:rsidR="008D42D0" w:rsidRPr="0090383C" w:rsidTr="008D42D0">
        <w:tc>
          <w:tcPr>
            <w:tcW w:w="2019" w:type="dxa"/>
            <w:vMerge/>
            <w:shd w:val="clear" w:color="auto" w:fill="auto"/>
          </w:tcPr>
          <w:p w:rsidR="008D42D0" w:rsidRPr="0090383C" w:rsidRDefault="008D42D0" w:rsidP="00CC3516">
            <w:pPr>
              <w:pStyle w:val="Default"/>
              <w:spacing w:after="9"/>
              <w:jc w:val="center"/>
              <w:rPr>
                <w:color w:val="auto"/>
                <w:sz w:val="23"/>
                <w:szCs w:val="23"/>
              </w:rPr>
            </w:pPr>
          </w:p>
        </w:tc>
        <w:tc>
          <w:tcPr>
            <w:tcW w:w="1890" w:type="dxa"/>
          </w:tcPr>
          <w:p w:rsidR="008D42D0" w:rsidRPr="0090383C" w:rsidRDefault="008D42D0" w:rsidP="00CC3516">
            <w:pPr>
              <w:pStyle w:val="Default"/>
              <w:rPr>
                <w:color w:val="auto"/>
              </w:rPr>
            </w:pPr>
          </w:p>
        </w:tc>
        <w:tc>
          <w:tcPr>
            <w:tcW w:w="4313" w:type="dxa"/>
            <w:shd w:val="clear" w:color="auto" w:fill="auto"/>
          </w:tcPr>
          <w:p w:rsidR="008D42D0" w:rsidRPr="0090383C" w:rsidRDefault="008D42D0" w:rsidP="008D4387">
            <w:pPr>
              <w:pStyle w:val="Default"/>
              <w:rPr>
                <w:color w:val="auto"/>
              </w:rPr>
            </w:pPr>
            <w:r w:rsidRPr="0090383C">
              <w:rPr>
                <w:color w:val="auto"/>
              </w:rPr>
              <w:t>Diegti intelektualias kultūros, švietimo, viešojo valdymo sr</w:t>
            </w:r>
            <w:r w:rsidR="00A43C82" w:rsidRPr="0090383C">
              <w:rPr>
                <w:color w:val="auto"/>
              </w:rPr>
              <w:t>ičių informacines technologijas,</w:t>
            </w:r>
            <w:r w:rsidRPr="0090383C">
              <w:rPr>
                <w:color w:val="auto"/>
              </w:rPr>
              <w:t xml:space="preserve"> parengti skaitmeninį reklamos ir mažosios architektūros registrą</w:t>
            </w:r>
          </w:p>
        </w:tc>
        <w:tc>
          <w:tcPr>
            <w:tcW w:w="1701" w:type="dxa"/>
            <w:shd w:val="clear" w:color="auto" w:fill="auto"/>
          </w:tcPr>
          <w:p w:rsidR="008D42D0" w:rsidRPr="0090383C" w:rsidRDefault="008D42D0">
            <w:pPr>
              <w:rPr>
                <w:rFonts w:ascii="Times New Roman" w:hAnsi="Times New Roman"/>
                <w:sz w:val="24"/>
                <w:szCs w:val="24"/>
              </w:rPr>
            </w:pPr>
            <w:r w:rsidRPr="0090383C">
              <w:rPr>
                <w:rFonts w:ascii="Times New Roman" w:hAnsi="Times New Roman"/>
                <w:sz w:val="24"/>
                <w:szCs w:val="24"/>
              </w:rPr>
              <w:t>2020–2022</w:t>
            </w:r>
          </w:p>
        </w:tc>
      </w:tr>
      <w:tr w:rsidR="00BD64F5" w:rsidRPr="0090383C" w:rsidTr="008D42D0">
        <w:tc>
          <w:tcPr>
            <w:tcW w:w="2019" w:type="dxa"/>
            <w:vMerge w:val="restart"/>
            <w:shd w:val="clear" w:color="auto" w:fill="auto"/>
          </w:tcPr>
          <w:p w:rsidR="00BD64F5" w:rsidRPr="0090383C" w:rsidRDefault="00BD64F5" w:rsidP="009C1085">
            <w:pPr>
              <w:rPr>
                <w:lang w:eastAsia="lt-LT"/>
              </w:rPr>
            </w:pPr>
            <w:r w:rsidRPr="0090383C">
              <w:rPr>
                <w:rFonts w:ascii="Times New Roman" w:hAnsi="Times New Roman"/>
                <w:sz w:val="23"/>
                <w:szCs w:val="23"/>
                <w:lang w:eastAsia="lt-LT"/>
              </w:rPr>
              <w:t xml:space="preserve">Ekonominė plėtra </w:t>
            </w:r>
          </w:p>
          <w:p w:rsidR="00BD64F5" w:rsidRPr="0090383C" w:rsidRDefault="00BD64F5" w:rsidP="009C1085">
            <w:pPr>
              <w:rPr>
                <w:lang w:eastAsia="lt-LT"/>
              </w:rPr>
            </w:pPr>
          </w:p>
          <w:p w:rsidR="00BD64F5" w:rsidRPr="0090383C" w:rsidRDefault="00BD64F5" w:rsidP="009C1085">
            <w:pPr>
              <w:rPr>
                <w:lang w:eastAsia="lt-LT"/>
              </w:rPr>
            </w:pPr>
          </w:p>
          <w:p w:rsidR="00BD64F5" w:rsidRPr="0090383C" w:rsidRDefault="00BD64F5" w:rsidP="009C1085">
            <w:pPr>
              <w:rPr>
                <w:lang w:eastAsia="lt-LT"/>
              </w:rPr>
            </w:pPr>
          </w:p>
          <w:p w:rsidR="00BD64F5" w:rsidRPr="0090383C" w:rsidRDefault="00BD64F5" w:rsidP="009C1085">
            <w:pPr>
              <w:rPr>
                <w:lang w:eastAsia="lt-LT"/>
              </w:rPr>
            </w:pPr>
          </w:p>
          <w:p w:rsidR="00BD64F5" w:rsidRPr="0090383C" w:rsidRDefault="00BD64F5" w:rsidP="009C1085">
            <w:pPr>
              <w:rPr>
                <w:lang w:eastAsia="lt-LT"/>
              </w:rPr>
            </w:pPr>
          </w:p>
          <w:p w:rsidR="00BD64F5" w:rsidRPr="0090383C" w:rsidRDefault="00BD64F5" w:rsidP="009C1085">
            <w:pPr>
              <w:rPr>
                <w:lang w:eastAsia="lt-LT"/>
              </w:rPr>
            </w:pPr>
          </w:p>
          <w:p w:rsidR="00BD64F5" w:rsidRPr="0090383C" w:rsidRDefault="00BD64F5" w:rsidP="009C1085">
            <w:pPr>
              <w:jc w:val="center"/>
              <w:rPr>
                <w:lang w:eastAsia="lt-LT"/>
              </w:rPr>
            </w:pPr>
          </w:p>
        </w:tc>
        <w:tc>
          <w:tcPr>
            <w:tcW w:w="1890" w:type="dxa"/>
            <w:vMerge w:val="restart"/>
          </w:tcPr>
          <w:p w:rsidR="00BD64F5" w:rsidRPr="0090383C" w:rsidRDefault="00BD64F5" w:rsidP="008D42D0">
            <w:pPr>
              <w:pStyle w:val="Default"/>
              <w:spacing w:after="9"/>
              <w:rPr>
                <w:color w:val="auto"/>
                <w:sz w:val="23"/>
                <w:szCs w:val="23"/>
              </w:rPr>
            </w:pPr>
            <w:r w:rsidRPr="0090383C">
              <w:rPr>
                <w:color w:val="auto"/>
                <w:sz w:val="23"/>
                <w:szCs w:val="23"/>
              </w:rPr>
              <w:t>Verslo ir</w:t>
            </w:r>
          </w:p>
          <w:p w:rsidR="00BD64F5" w:rsidRPr="0090383C" w:rsidRDefault="00BD64F5" w:rsidP="008D42D0">
            <w:pPr>
              <w:pStyle w:val="Default"/>
              <w:spacing w:after="9"/>
              <w:rPr>
                <w:color w:val="auto"/>
                <w:sz w:val="23"/>
                <w:szCs w:val="23"/>
              </w:rPr>
            </w:pPr>
            <w:r w:rsidRPr="0090383C">
              <w:rPr>
                <w:color w:val="auto"/>
                <w:sz w:val="23"/>
                <w:szCs w:val="23"/>
              </w:rPr>
              <w:t>investicinės aplinkos</w:t>
            </w:r>
          </w:p>
          <w:p w:rsidR="00BD64F5" w:rsidRPr="0090383C" w:rsidRDefault="00BD64F5" w:rsidP="008D42D0">
            <w:pPr>
              <w:pStyle w:val="Default"/>
              <w:spacing w:after="9"/>
              <w:rPr>
                <w:color w:val="auto"/>
                <w:sz w:val="23"/>
                <w:szCs w:val="23"/>
              </w:rPr>
            </w:pPr>
            <w:r w:rsidRPr="0090383C">
              <w:rPr>
                <w:color w:val="auto"/>
                <w:sz w:val="23"/>
                <w:szCs w:val="23"/>
              </w:rPr>
              <w:t>konkurencingumo</w:t>
            </w:r>
          </w:p>
          <w:p w:rsidR="00BD64F5" w:rsidRPr="0090383C" w:rsidRDefault="00BD64F5" w:rsidP="008D42D0">
            <w:pPr>
              <w:pStyle w:val="Default"/>
              <w:spacing w:after="9"/>
              <w:rPr>
                <w:color w:val="auto"/>
                <w:sz w:val="23"/>
                <w:szCs w:val="23"/>
              </w:rPr>
            </w:pPr>
            <w:r w:rsidRPr="0090383C">
              <w:rPr>
                <w:color w:val="auto"/>
                <w:sz w:val="23"/>
                <w:szCs w:val="23"/>
              </w:rPr>
              <w:t>didinimas</w:t>
            </w:r>
          </w:p>
        </w:tc>
        <w:tc>
          <w:tcPr>
            <w:tcW w:w="4313" w:type="dxa"/>
            <w:shd w:val="clear" w:color="auto" w:fill="auto"/>
          </w:tcPr>
          <w:p w:rsidR="00BD64F5" w:rsidRPr="0090383C" w:rsidRDefault="00BD64F5" w:rsidP="00CC3516">
            <w:pPr>
              <w:pStyle w:val="Default"/>
              <w:spacing w:after="9"/>
              <w:rPr>
                <w:color w:val="auto"/>
                <w:sz w:val="23"/>
                <w:szCs w:val="23"/>
              </w:rPr>
            </w:pPr>
            <w:r w:rsidRPr="0090383C">
              <w:rPr>
                <w:color w:val="auto"/>
                <w:sz w:val="23"/>
                <w:szCs w:val="23"/>
              </w:rPr>
              <w:t>Plėsti verslo vystymo galimybes, įrengiant tam tinkamą infrastruktūrą</w:t>
            </w:r>
          </w:p>
        </w:tc>
        <w:tc>
          <w:tcPr>
            <w:tcW w:w="1701" w:type="dxa"/>
            <w:shd w:val="clear" w:color="auto" w:fill="auto"/>
          </w:tcPr>
          <w:p w:rsidR="00BD64F5" w:rsidRPr="0090383C" w:rsidRDefault="00BD64F5">
            <w:pPr>
              <w:rPr>
                <w:rFonts w:ascii="Times New Roman" w:hAnsi="Times New Roman"/>
                <w:sz w:val="24"/>
                <w:szCs w:val="24"/>
              </w:rPr>
            </w:pPr>
            <w:r w:rsidRPr="0090383C">
              <w:rPr>
                <w:rFonts w:ascii="Times New Roman" w:hAnsi="Times New Roman"/>
                <w:sz w:val="24"/>
                <w:szCs w:val="24"/>
              </w:rPr>
              <w:t>2020–2022</w:t>
            </w:r>
          </w:p>
        </w:tc>
      </w:tr>
      <w:tr w:rsidR="00BD64F5" w:rsidRPr="0090383C" w:rsidTr="008D42D0">
        <w:tc>
          <w:tcPr>
            <w:tcW w:w="2019" w:type="dxa"/>
            <w:vMerge/>
            <w:shd w:val="clear" w:color="auto" w:fill="auto"/>
          </w:tcPr>
          <w:p w:rsidR="00BD64F5" w:rsidRPr="0090383C" w:rsidRDefault="00BD64F5" w:rsidP="00CC3516">
            <w:pPr>
              <w:pStyle w:val="Default"/>
              <w:spacing w:after="9"/>
              <w:jc w:val="center"/>
              <w:rPr>
                <w:color w:val="auto"/>
                <w:sz w:val="23"/>
                <w:szCs w:val="23"/>
              </w:rPr>
            </w:pPr>
          </w:p>
        </w:tc>
        <w:tc>
          <w:tcPr>
            <w:tcW w:w="1890" w:type="dxa"/>
            <w:vMerge/>
          </w:tcPr>
          <w:p w:rsidR="00BD64F5" w:rsidRPr="0090383C" w:rsidRDefault="00BD64F5" w:rsidP="00CC3516">
            <w:pPr>
              <w:pStyle w:val="Default"/>
              <w:spacing w:after="9"/>
              <w:rPr>
                <w:color w:val="auto"/>
                <w:sz w:val="23"/>
                <w:szCs w:val="23"/>
              </w:rPr>
            </w:pPr>
          </w:p>
        </w:tc>
        <w:tc>
          <w:tcPr>
            <w:tcW w:w="4313" w:type="dxa"/>
            <w:shd w:val="clear" w:color="auto" w:fill="auto"/>
          </w:tcPr>
          <w:p w:rsidR="00BD64F5" w:rsidRPr="0090383C" w:rsidRDefault="00BD64F5" w:rsidP="00CC3516">
            <w:pPr>
              <w:pStyle w:val="Default"/>
              <w:spacing w:after="9"/>
              <w:rPr>
                <w:color w:val="auto"/>
                <w:sz w:val="23"/>
                <w:szCs w:val="23"/>
              </w:rPr>
            </w:pPr>
            <w:r w:rsidRPr="0090383C">
              <w:rPr>
                <w:color w:val="auto"/>
                <w:sz w:val="23"/>
                <w:szCs w:val="23"/>
              </w:rPr>
              <w:t>Tobulinti atliekų tvarkymo infrastruktūrą</w:t>
            </w:r>
          </w:p>
        </w:tc>
        <w:tc>
          <w:tcPr>
            <w:tcW w:w="1701" w:type="dxa"/>
            <w:shd w:val="clear" w:color="auto" w:fill="auto"/>
          </w:tcPr>
          <w:p w:rsidR="00BD64F5" w:rsidRPr="0090383C" w:rsidRDefault="00BD64F5">
            <w:pPr>
              <w:rPr>
                <w:rFonts w:ascii="Times New Roman" w:hAnsi="Times New Roman"/>
                <w:sz w:val="24"/>
                <w:szCs w:val="24"/>
              </w:rPr>
            </w:pPr>
            <w:r w:rsidRPr="0090383C">
              <w:rPr>
                <w:rFonts w:ascii="Times New Roman" w:hAnsi="Times New Roman"/>
                <w:sz w:val="24"/>
                <w:szCs w:val="24"/>
              </w:rPr>
              <w:t>2020–2022</w:t>
            </w:r>
          </w:p>
        </w:tc>
      </w:tr>
      <w:tr w:rsidR="00BD64F5" w:rsidRPr="0090383C" w:rsidTr="008D42D0">
        <w:tc>
          <w:tcPr>
            <w:tcW w:w="2019" w:type="dxa"/>
            <w:vMerge/>
            <w:shd w:val="clear" w:color="auto" w:fill="auto"/>
          </w:tcPr>
          <w:p w:rsidR="00BD64F5" w:rsidRPr="0090383C" w:rsidRDefault="00BD64F5" w:rsidP="00CC3516">
            <w:pPr>
              <w:pStyle w:val="Default"/>
              <w:spacing w:after="9"/>
              <w:jc w:val="center"/>
              <w:rPr>
                <w:color w:val="auto"/>
                <w:sz w:val="23"/>
                <w:szCs w:val="23"/>
              </w:rPr>
            </w:pPr>
          </w:p>
        </w:tc>
        <w:tc>
          <w:tcPr>
            <w:tcW w:w="1890" w:type="dxa"/>
            <w:vMerge/>
          </w:tcPr>
          <w:p w:rsidR="00BD64F5" w:rsidRPr="0090383C" w:rsidRDefault="00BD64F5" w:rsidP="00CC3516">
            <w:pPr>
              <w:pStyle w:val="Default"/>
              <w:spacing w:after="9"/>
              <w:rPr>
                <w:color w:val="auto"/>
                <w:sz w:val="23"/>
                <w:szCs w:val="23"/>
              </w:rPr>
            </w:pPr>
          </w:p>
        </w:tc>
        <w:tc>
          <w:tcPr>
            <w:tcW w:w="4313" w:type="dxa"/>
            <w:shd w:val="clear" w:color="auto" w:fill="auto"/>
          </w:tcPr>
          <w:p w:rsidR="00BD64F5" w:rsidRPr="0090383C" w:rsidRDefault="00BD64F5" w:rsidP="00CC3516">
            <w:pPr>
              <w:pStyle w:val="Default"/>
              <w:spacing w:after="9"/>
              <w:rPr>
                <w:color w:val="auto"/>
                <w:sz w:val="23"/>
                <w:szCs w:val="23"/>
              </w:rPr>
            </w:pPr>
            <w:r w:rsidRPr="0090383C">
              <w:rPr>
                <w:color w:val="auto"/>
                <w:sz w:val="23"/>
                <w:szCs w:val="23"/>
              </w:rPr>
              <w:t xml:space="preserve">Skatinti viešojo ir privataus sektoriaus ekonominės ir socialinės plėtros bendradarbiavimą </w:t>
            </w:r>
          </w:p>
        </w:tc>
        <w:tc>
          <w:tcPr>
            <w:tcW w:w="1701" w:type="dxa"/>
            <w:shd w:val="clear" w:color="auto" w:fill="auto"/>
          </w:tcPr>
          <w:p w:rsidR="00BD64F5" w:rsidRPr="0090383C" w:rsidRDefault="00BD64F5">
            <w:pPr>
              <w:rPr>
                <w:rFonts w:ascii="Times New Roman" w:hAnsi="Times New Roman"/>
                <w:sz w:val="24"/>
                <w:szCs w:val="24"/>
              </w:rPr>
            </w:pPr>
            <w:r w:rsidRPr="0090383C">
              <w:rPr>
                <w:rFonts w:ascii="Times New Roman" w:hAnsi="Times New Roman"/>
                <w:sz w:val="24"/>
                <w:szCs w:val="24"/>
              </w:rPr>
              <w:t>2020–2022</w:t>
            </w:r>
          </w:p>
        </w:tc>
      </w:tr>
      <w:tr w:rsidR="00BD64F5" w:rsidRPr="0090383C" w:rsidTr="008D42D0">
        <w:tc>
          <w:tcPr>
            <w:tcW w:w="2019" w:type="dxa"/>
            <w:vMerge/>
            <w:shd w:val="clear" w:color="auto" w:fill="auto"/>
          </w:tcPr>
          <w:p w:rsidR="00BD64F5" w:rsidRPr="0090383C" w:rsidRDefault="00BD64F5" w:rsidP="00CC3516">
            <w:pPr>
              <w:pStyle w:val="Default"/>
              <w:spacing w:after="9"/>
              <w:jc w:val="center"/>
              <w:rPr>
                <w:color w:val="auto"/>
                <w:sz w:val="23"/>
                <w:szCs w:val="23"/>
              </w:rPr>
            </w:pPr>
          </w:p>
        </w:tc>
        <w:tc>
          <w:tcPr>
            <w:tcW w:w="1890" w:type="dxa"/>
            <w:vMerge/>
          </w:tcPr>
          <w:p w:rsidR="00BD64F5" w:rsidRPr="0090383C" w:rsidRDefault="00BD64F5" w:rsidP="00CC3516">
            <w:pPr>
              <w:pStyle w:val="Default"/>
              <w:spacing w:after="9"/>
              <w:rPr>
                <w:color w:val="auto"/>
              </w:rPr>
            </w:pPr>
          </w:p>
        </w:tc>
        <w:tc>
          <w:tcPr>
            <w:tcW w:w="4313" w:type="dxa"/>
            <w:shd w:val="clear" w:color="auto" w:fill="auto"/>
          </w:tcPr>
          <w:p w:rsidR="00BD64F5" w:rsidRPr="0090383C" w:rsidRDefault="00BD64F5" w:rsidP="00CC3516">
            <w:pPr>
              <w:pStyle w:val="Default"/>
              <w:spacing w:after="9"/>
              <w:rPr>
                <w:color w:val="auto"/>
                <w:sz w:val="23"/>
                <w:szCs w:val="23"/>
              </w:rPr>
            </w:pPr>
            <w:r w:rsidRPr="0090383C">
              <w:rPr>
                <w:color w:val="auto"/>
              </w:rPr>
              <w:t xml:space="preserve">Stiprinti bendradarbiavimą su Alytaus aukštojo ir profesinio mokymo įstaigomis, </w:t>
            </w:r>
            <w:r w:rsidRPr="0090383C">
              <w:rPr>
                <w:color w:val="auto"/>
              </w:rPr>
              <w:lastRenderedPageBreak/>
              <w:t>rengiant miestui labiausiai reikalingus specialistus, siekiant išlaikyti ir pritraukti jaunimą Alytaus mieste</w:t>
            </w:r>
          </w:p>
        </w:tc>
        <w:tc>
          <w:tcPr>
            <w:tcW w:w="1701" w:type="dxa"/>
            <w:shd w:val="clear" w:color="auto" w:fill="auto"/>
          </w:tcPr>
          <w:p w:rsidR="00BD64F5" w:rsidRPr="0090383C" w:rsidRDefault="00BD64F5">
            <w:pPr>
              <w:rPr>
                <w:rFonts w:ascii="Times New Roman" w:hAnsi="Times New Roman"/>
                <w:sz w:val="24"/>
                <w:szCs w:val="24"/>
              </w:rPr>
            </w:pPr>
            <w:r w:rsidRPr="0090383C">
              <w:rPr>
                <w:rFonts w:ascii="Times New Roman" w:hAnsi="Times New Roman"/>
                <w:sz w:val="24"/>
                <w:szCs w:val="24"/>
              </w:rPr>
              <w:lastRenderedPageBreak/>
              <w:t>2020–2022</w:t>
            </w:r>
          </w:p>
        </w:tc>
      </w:tr>
      <w:tr w:rsidR="00BD64F5" w:rsidRPr="0090383C" w:rsidTr="008D42D0">
        <w:tc>
          <w:tcPr>
            <w:tcW w:w="2019" w:type="dxa"/>
            <w:vMerge/>
            <w:tcBorders>
              <w:bottom w:val="single" w:sz="4" w:space="0" w:color="auto"/>
            </w:tcBorders>
            <w:shd w:val="clear" w:color="auto" w:fill="auto"/>
          </w:tcPr>
          <w:p w:rsidR="00BD64F5" w:rsidRPr="0090383C" w:rsidRDefault="00BD64F5" w:rsidP="00CC3516">
            <w:pPr>
              <w:pStyle w:val="Default"/>
              <w:spacing w:after="9"/>
              <w:jc w:val="center"/>
              <w:rPr>
                <w:color w:val="auto"/>
                <w:sz w:val="23"/>
                <w:szCs w:val="23"/>
              </w:rPr>
            </w:pPr>
          </w:p>
        </w:tc>
        <w:tc>
          <w:tcPr>
            <w:tcW w:w="1890" w:type="dxa"/>
            <w:vMerge/>
          </w:tcPr>
          <w:p w:rsidR="00BD64F5" w:rsidRPr="0090383C" w:rsidRDefault="00BD64F5" w:rsidP="00CC3516">
            <w:pPr>
              <w:pStyle w:val="Default"/>
              <w:spacing w:after="9"/>
              <w:rPr>
                <w:color w:val="auto"/>
              </w:rPr>
            </w:pPr>
          </w:p>
        </w:tc>
        <w:tc>
          <w:tcPr>
            <w:tcW w:w="4313" w:type="dxa"/>
            <w:shd w:val="clear" w:color="auto" w:fill="auto"/>
          </w:tcPr>
          <w:p w:rsidR="00BD64F5" w:rsidRPr="0090383C" w:rsidRDefault="00BD64F5" w:rsidP="008D42D0">
            <w:pPr>
              <w:autoSpaceDE w:val="0"/>
              <w:autoSpaceDN w:val="0"/>
              <w:adjustRightInd w:val="0"/>
              <w:rPr>
                <w:rFonts w:ascii="Times New Roman" w:eastAsiaTheme="minorHAnsi" w:hAnsi="Times New Roman"/>
                <w:sz w:val="24"/>
                <w:szCs w:val="24"/>
              </w:rPr>
            </w:pPr>
            <w:r w:rsidRPr="0090383C">
              <w:rPr>
                <w:rFonts w:ascii="Times New Roman" w:eastAsiaTheme="minorHAnsi" w:hAnsi="Times New Roman"/>
                <w:sz w:val="24"/>
                <w:szCs w:val="24"/>
              </w:rPr>
              <w:t>Didinti verslo plėtros ir investicinės aplinkos patrauklumo, įgyvendinant smulkaus ir</w:t>
            </w:r>
            <w:r w:rsidR="006015C0" w:rsidRPr="0090383C">
              <w:rPr>
                <w:rFonts w:ascii="Times New Roman" w:eastAsiaTheme="minorHAnsi" w:hAnsi="Times New Roman"/>
                <w:sz w:val="24"/>
                <w:szCs w:val="24"/>
              </w:rPr>
              <w:t xml:space="preserve"> </w:t>
            </w:r>
            <w:r w:rsidRPr="0090383C">
              <w:rPr>
                <w:rFonts w:ascii="Times New Roman" w:eastAsiaTheme="minorHAnsi" w:hAnsi="Times New Roman"/>
                <w:sz w:val="24"/>
                <w:szCs w:val="24"/>
              </w:rPr>
              <w:t>vidutinio verslo skatinimo ir rėmimo priemones</w:t>
            </w:r>
          </w:p>
        </w:tc>
        <w:tc>
          <w:tcPr>
            <w:tcW w:w="1701" w:type="dxa"/>
            <w:shd w:val="clear" w:color="auto" w:fill="auto"/>
          </w:tcPr>
          <w:p w:rsidR="00BD64F5" w:rsidRPr="0090383C" w:rsidRDefault="00A43C82">
            <w:pPr>
              <w:rPr>
                <w:rFonts w:ascii="Times New Roman" w:hAnsi="Times New Roman"/>
                <w:sz w:val="24"/>
                <w:szCs w:val="24"/>
              </w:rPr>
            </w:pPr>
            <w:r w:rsidRPr="0090383C">
              <w:rPr>
                <w:rFonts w:ascii="Times New Roman" w:hAnsi="Times New Roman"/>
                <w:sz w:val="24"/>
                <w:szCs w:val="24"/>
              </w:rPr>
              <w:t>2020–2022</w:t>
            </w:r>
          </w:p>
        </w:tc>
      </w:tr>
      <w:tr w:rsidR="00BD64F5" w:rsidRPr="0090383C" w:rsidTr="008D42D0">
        <w:tc>
          <w:tcPr>
            <w:tcW w:w="2019" w:type="dxa"/>
            <w:vMerge/>
            <w:tcBorders>
              <w:bottom w:val="single" w:sz="4" w:space="0" w:color="auto"/>
            </w:tcBorders>
            <w:shd w:val="clear" w:color="auto" w:fill="auto"/>
          </w:tcPr>
          <w:p w:rsidR="00BD64F5" w:rsidRPr="0090383C" w:rsidRDefault="00BD64F5" w:rsidP="00CC3516">
            <w:pPr>
              <w:pStyle w:val="Default"/>
              <w:spacing w:after="9"/>
              <w:jc w:val="center"/>
              <w:rPr>
                <w:color w:val="auto"/>
                <w:sz w:val="23"/>
                <w:szCs w:val="23"/>
              </w:rPr>
            </w:pPr>
          </w:p>
        </w:tc>
        <w:tc>
          <w:tcPr>
            <w:tcW w:w="1890" w:type="dxa"/>
            <w:vMerge/>
          </w:tcPr>
          <w:p w:rsidR="00BD64F5" w:rsidRPr="0090383C" w:rsidRDefault="00BD64F5" w:rsidP="00CC3516">
            <w:pPr>
              <w:pStyle w:val="Default"/>
              <w:spacing w:after="9"/>
              <w:rPr>
                <w:color w:val="auto"/>
              </w:rPr>
            </w:pPr>
          </w:p>
        </w:tc>
        <w:tc>
          <w:tcPr>
            <w:tcW w:w="4313" w:type="dxa"/>
            <w:shd w:val="clear" w:color="auto" w:fill="auto"/>
          </w:tcPr>
          <w:p w:rsidR="00BD64F5" w:rsidRPr="0090383C" w:rsidRDefault="00BD64F5" w:rsidP="008D42D0">
            <w:pPr>
              <w:autoSpaceDE w:val="0"/>
              <w:autoSpaceDN w:val="0"/>
              <w:adjustRightInd w:val="0"/>
              <w:rPr>
                <w:rFonts w:ascii="Times New Roman" w:eastAsiaTheme="minorHAnsi" w:hAnsi="Times New Roman"/>
                <w:sz w:val="24"/>
                <w:szCs w:val="24"/>
              </w:rPr>
            </w:pPr>
            <w:r w:rsidRPr="0090383C">
              <w:rPr>
                <w:rFonts w:ascii="Times New Roman" w:eastAsiaTheme="minorHAnsi" w:hAnsi="Times New Roman"/>
                <w:sz w:val="24"/>
                <w:szCs w:val="24"/>
              </w:rPr>
              <w:t>Vykdyti verslo aplinkos stebėseną, skleisti informaciją apie miesto verslo galimybes ir sąlygas, parengti mieste realiai veikiančių įmonių registrą</w:t>
            </w:r>
          </w:p>
        </w:tc>
        <w:tc>
          <w:tcPr>
            <w:tcW w:w="1701" w:type="dxa"/>
            <w:shd w:val="clear" w:color="auto" w:fill="auto"/>
          </w:tcPr>
          <w:p w:rsidR="00BD64F5" w:rsidRPr="0090383C" w:rsidRDefault="00A43C82">
            <w:pPr>
              <w:rPr>
                <w:rFonts w:ascii="Times New Roman" w:hAnsi="Times New Roman"/>
                <w:sz w:val="24"/>
                <w:szCs w:val="24"/>
              </w:rPr>
            </w:pPr>
            <w:r w:rsidRPr="0090383C">
              <w:rPr>
                <w:rFonts w:ascii="Times New Roman" w:hAnsi="Times New Roman"/>
                <w:sz w:val="24"/>
                <w:szCs w:val="24"/>
              </w:rPr>
              <w:t>2020–2022</w:t>
            </w:r>
          </w:p>
        </w:tc>
      </w:tr>
      <w:tr w:rsidR="00BD64F5" w:rsidRPr="0090383C" w:rsidTr="008D42D0">
        <w:tc>
          <w:tcPr>
            <w:tcW w:w="2019" w:type="dxa"/>
            <w:vMerge/>
            <w:tcBorders>
              <w:bottom w:val="single" w:sz="4" w:space="0" w:color="auto"/>
            </w:tcBorders>
            <w:shd w:val="clear" w:color="auto" w:fill="auto"/>
          </w:tcPr>
          <w:p w:rsidR="00BD64F5" w:rsidRPr="0090383C" w:rsidRDefault="00BD64F5" w:rsidP="00CC3516">
            <w:pPr>
              <w:pStyle w:val="Default"/>
              <w:spacing w:after="9"/>
              <w:jc w:val="center"/>
              <w:rPr>
                <w:color w:val="auto"/>
                <w:sz w:val="23"/>
                <w:szCs w:val="23"/>
              </w:rPr>
            </w:pPr>
          </w:p>
        </w:tc>
        <w:tc>
          <w:tcPr>
            <w:tcW w:w="1890" w:type="dxa"/>
            <w:vMerge/>
          </w:tcPr>
          <w:p w:rsidR="00BD64F5" w:rsidRPr="0090383C" w:rsidRDefault="00BD64F5" w:rsidP="00CC3516">
            <w:pPr>
              <w:pStyle w:val="Default"/>
              <w:spacing w:after="9"/>
              <w:rPr>
                <w:color w:val="auto"/>
              </w:rPr>
            </w:pPr>
          </w:p>
        </w:tc>
        <w:tc>
          <w:tcPr>
            <w:tcW w:w="4313" w:type="dxa"/>
            <w:shd w:val="clear" w:color="auto" w:fill="auto"/>
          </w:tcPr>
          <w:p w:rsidR="00BD64F5" w:rsidRPr="0090383C" w:rsidRDefault="00BD64F5" w:rsidP="00A43C82">
            <w:pPr>
              <w:pStyle w:val="Default"/>
              <w:spacing w:after="9"/>
              <w:rPr>
                <w:color w:val="auto"/>
              </w:rPr>
            </w:pPr>
            <w:r w:rsidRPr="0090383C">
              <w:rPr>
                <w:rFonts w:eastAsiaTheme="minorHAnsi"/>
              </w:rPr>
              <w:t>Skatinti jaunimo verslumą</w:t>
            </w:r>
            <w:r w:rsidR="00A43C82" w:rsidRPr="0090383C">
              <w:rPr>
                <w:rFonts w:eastAsiaTheme="minorHAnsi"/>
              </w:rPr>
              <w:t>, užimtumą, ugdyti pilietiškumą</w:t>
            </w:r>
            <w:r w:rsidRPr="0090383C">
              <w:rPr>
                <w:rFonts w:eastAsiaTheme="minorHAnsi"/>
              </w:rPr>
              <w:t xml:space="preserve"> </w:t>
            </w:r>
          </w:p>
        </w:tc>
        <w:tc>
          <w:tcPr>
            <w:tcW w:w="1701" w:type="dxa"/>
            <w:shd w:val="clear" w:color="auto" w:fill="auto"/>
          </w:tcPr>
          <w:p w:rsidR="00BD64F5" w:rsidRPr="0090383C" w:rsidRDefault="00A43C82">
            <w:pPr>
              <w:rPr>
                <w:rFonts w:ascii="Times New Roman" w:hAnsi="Times New Roman"/>
                <w:sz w:val="24"/>
                <w:szCs w:val="24"/>
              </w:rPr>
            </w:pPr>
            <w:r w:rsidRPr="0090383C">
              <w:rPr>
                <w:rFonts w:ascii="Times New Roman" w:hAnsi="Times New Roman"/>
                <w:sz w:val="24"/>
                <w:szCs w:val="24"/>
              </w:rPr>
              <w:t>2020–2022</w:t>
            </w:r>
          </w:p>
        </w:tc>
      </w:tr>
      <w:tr w:rsidR="008D42D0" w:rsidRPr="0090383C" w:rsidTr="008D42D0">
        <w:tc>
          <w:tcPr>
            <w:tcW w:w="2019" w:type="dxa"/>
            <w:vMerge w:val="restart"/>
            <w:tcBorders>
              <w:top w:val="nil"/>
              <w:left w:val="single" w:sz="4" w:space="0" w:color="auto"/>
              <w:bottom w:val="single" w:sz="4" w:space="0" w:color="auto"/>
              <w:right w:val="single" w:sz="4" w:space="0" w:color="auto"/>
            </w:tcBorders>
            <w:shd w:val="clear" w:color="auto" w:fill="auto"/>
          </w:tcPr>
          <w:p w:rsidR="008D42D0" w:rsidRPr="0090383C" w:rsidRDefault="008D42D0" w:rsidP="009C1085">
            <w:pPr>
              <w:jc w:val="center"/>
              <w:rPr>
                <w:rFonts w:ascii="Times New Roman" w:hAnsi="Times New Roman"/>
                <w:sz w:val="24"/>
                <w:szCs w:val="24"/>
              </w:rPr>
            </w:pPr>
            <w:r w:rsidRPr="0090383C">
              <w:rPr>
                <w:rFonts w:ascii="Times New Roman" w:hAnsi="Times New Roman"/>
                <w:sz w:val="24"/>
                <w:szCs w:val="24"/>
              </w:rPr>
              <w:t>Gyvenimo kokybė ir aplinka</w:t>
            </w:r>
          </w:p>
          <w:p w:rsidR="008D42D0" w:rsidRPr="0090383C" w:rsidRDefault="008D42D0" w:rsidP="00A058D9">
            <w:pPr>
              <w:rPr>
                <w:sz w:val="23"/>
                <w:szCs w:val="23"/>
              </w:rPr>
            </w:pPr>
          </w:p>
          <w:p w:rsidR="008D42D0" w:rsidRPr="0090383C" w:rsidRDefault="008D42D0" w:rsidP="00A058D9">
            <w:pPr>
              <w:rPr>
                <w:sz w:val="23"/>
                <w:szCs w:val="23"/>
              </w:rPr>
            </w:pPr>
          </w:p>
          <w:p w:rsidR="008D42D0" w:rsidRPr="0090383C" w:rsidRDefault="008D42D0" w:rsidP="00A058D9">
            <w:pPr>
              <w:rPr>
                <w:sz w:val="23"/>
                <w:szCs w:val="23"/>
              </w:rPr>
            </w:pPr>
          </w:p>
          <w:p w:rsidR="008D42D0" w:rsidRPr="0090383C" w:rsidRDefault="008D42D0" w:rsidP="00A058D9">
            <w:pPr>
              <w:rPr>
                <w:sz w:val="23"/>
                <w:szCs w:val="23"/>
              </w:rPr>
            </w:pPr>
          </w:p>
          <w:p w:rsidR="008D42D0" w:rsidRPr="0090383C" w:rsidRDefault="008D42D0" w:rsidP="00A058D9">
            <w:pPr>
              <w:rPr>
                <w:sz w:val="23"/>
                <w:szCs w:val="23"/>
              </w:rPr>
            </w:pPr>
          </w:p>
          <w:p w:rsidR="008D42D0" w:rsidRPr="0090383C" w:rsidRDefault="008D42D0" w:rsidP="00A058D9">
            <w:pPr>
              <w:rPr>
                <w:sz w:val="23"/>
                <w:szCs w:val="23"/>
              </w:rPr>
            </w:pPr>
          </w:p>
          <w:p w:rsidR="008D42D0" w:rsidRPr="0090383C" w:rsidRDefault="008D42D0" w:rsidP="00A058D9">
            <w:pPr>
              <w:rPr>
                <w:sz w:val="23"/>
                <w:szCs w:val="23"/>
              </w:rPr>
            </w:pPr>
          </w:p>
          <w:p w:rsidR="008D42D0" w:rsidRPr="0090383C" w:rsidRDefault="008D42D0" w:rsidP="00A058D9">
            <w:pPr>
              <w:jc w:val="center"/>
              <w:rPr>
                <w:sz w:val="23"/>
                <w:szCs w:val="23"/>
              </w:rPr>
            </w:pPr>
          </w:p>
        </w:tc>
        <w:tc>
          <w:tcPr>
            <w:tcW w:w="1890" w:type="dxa"/>
            <w:tcBorders>
              <w:left w:val="single" w:sz="4" w:space="0" w:color="auto"/>
              <w:right w:val="single" w:sz="4" w:space="0" w:color="auto"/>
            </w:tcBorders>
          </w:tcPr>
          <w:p w:rsidR="008D42D0" w:rsidRPr="0090383C" w:rsidRDefault="008D42D0" w:rsidP="00CC3516">
            <w:pPr>
              <w:pStyle w:val="Default"/>
              <w:spacing w:after="9"/>
              <w:rPr>
                <w:color w:val="auto"/>
                <w:sz w:val="23"/>
                <w:szCs w:val="23"/>
              </w:rPr>
            </w:pPr>
          </w:p>
        </w:tc>
        <w:tc>
          <w:tcPr>
            <w:tcW w:w="4313" w:type="dxa"/>
            <w:tcBorders>
              <w:left w:val="single" w:sz="4" w:space="0" w:color="auto"/>
            </w:tcBorders>
            <w:shd w:val="clear" w:color="auto" w:fill="auto"/>
          </w:tcPr>
          <w:p w:rsidR="008D42D0" w:rsidRPr="0090383C" w:rsidRDefault="008D42D0" w:rsidP="00CC3516">
            <w:pPr>
              <w:pStyle w:val="Default"/>
              <w:spacing w:after="9"/>
              <w:rPr>
                <w:color w:val="auto"/>
              </w:rPr>
            </w:pPr>
            <w:r w:rsidRPr="0090383C">
              <w:rPr>
                <w:color w:val="auto"/>
                <w:sz w:val="23"/>
                <w:szCs w:val="23"/>
              </w:rPr>
              <w:t xml:space="preserve">Skatinti savivaldybės bendruomenių, nevyriausybinių organizacijų, verslo subjektų veiklą, aktyviai įsitraukiant į sprendimų priėmimą, dalyvaujant projektinėje veikloje </w:t>
            </w:r>
          </w:p>
        </w:tc>
        <w:tc>
          <w:tcPr>
            <w:tcW w:w="1701" w:type="dxa"/>
            <w:shd w:val="clear" w:color="auto" w:fill="auto"/>
          </w:tcPr>
          <w:p w:rsidR="008D42D0" w:rsidRPr="0090383C" w:rsidRDefault="00582B4D">
            <w:pPr>
              <w:rPr>
                <w:rFonts w:ascii="Times New Roman" w:hAnsi="Times New Roman"/>
                <w:sz w:val="24"/>
                <w:szCs w:val="24"/>
              </w:rPr>
            </w:pPr>
            <w:r w:rsidRPr="0090383C">
              <w:rPr>
                <w:rFonts w:ascii="Times New Roman" w:hAnsi="Times New Roman"/>
                <w:sz w:val="24"/>
                <w:szCs w:val="24"/>
              </w:rPr>
              <w:t>2020–2022</w:t>
            </w:r>
          </w:p>
        </w:tc>
      </w:tr>
      <w:tr w:rsidR="008D42D0" w:rsidRPr="0090383C" w:rsidTr="008D42D0">
        <w:tc>
          <w:tcPr>
            <w:tcW w:w="2019" w:type="dxa"/>
            <w:vMerge/>
            <w:tcBorders>
              <w:top w:val="nil"/>
              <w:left w:val="single" w:sz="4" w:space="0" w:color="auto"/>
              <w:bottom w:val="single" w:sz="4" w:space="0" w:color="auto"/>
              <w:right w:val="single" w:sz="4" w:space="0" w:color="auto"/>
            </w:tcBorders>
            <w:shd w:val="clear" w:color="auto" w:fill="auto"/>
          </w:tcPr>
          <w:p w:rsidR="008D42D0" w:rsidRPr="0090383C" w:rsidRDefault="008D42D0" w:rsidP="00CC3516">
            <w:pPr>
              <w:pStyle w:val="Default"/>
              <w:spacing w:after="9"/>
              <w:jc w:val="center"/>
              <w:rPr>
                <w:color w:val="auto"/>
                <w:sz w:val="23"/>
                <w:szCs w:val="23"/>
              </w:rPr>
            </w:pPr>
          </w:p>
        </w:tc>
        <w:tc>
          <w:tcPr>
            <w:tcW w:w="1890" w:type="dxa"/>
            <w:tcBorders>
              <w:left w:val="single" w:sz="4" w:space="0" w:color="auto"/>
              <w:right w:val="single" w:sz="4" w:space="0" w:color="auto"/>
            </w:tcBorders>
          </w:tcPr>
          <w:p w:rsidR="008D42D0" w:rsidRPr="0090383C" w:rsidRDefault="008D42D0" w:rsidP="00CC3516">
            <w:pPr>
              <w:pStyle w:val="Default"/>
              <w:spacing w:after="9"/>
              <w:rPr>
                <w:color w:val="auto"/>
              </w:rPr>
            </w:pPr>
          </w:p>
        </w:tc>
        <w:tc>
          <w:tcPr>
            <w:tcW w:w="4313" w:type="dxa"/>
            <w:tcBorders>
              <w:left w:val="single" w:sz="4" w:space="0" w:color="auto"/>
            </w:tcBorders>
            <w:shd w:val="clear" w:color="auto" w:fill="auto"/>
          </w:tcPr>
          <w:p w:rsidR="008D42D0" w:rsidRPr="0090383C" w:rsidRDefault="008D42D0" w:rsidP="00582B4D">
            <w:pPr>
              <w:pStyle w:val="Default"/>
              <w:spacing w:after="9"/>
              <w:rPr>
                <w:color w:val="auto"/>
                <w:sz w:val="23"/>
                <w:szCs w:val="23"/>
              </w:rPr>
            </w:pPr>
            <w:r w:rsidRPr="0090383C">
              <w:rPr>
                <w:color w:val="auto"/>
              </w:rPr>
              <w:t xml:space="preserve">Taikyti įvairias paramos formas vykdant investicijas į daugiabučių namų </w:t>
            </w:r>
            <w:r w:rsidR="006015C0" w:rsidRPr="0090383C">
              <w:rPr>
                <w:color w:val="auto"/>
              </w:rPr>
              <w:t>infrastruktūros modernizavimą/</w:t>
            </w:r>
            <w:r w:rsidRPr="0090383C">
              <w:rPr>
                <w:color w:val="auto"/>
              </w:rPr>
              <w:t xml:space="preserve"> atnaujinimą</w:t>
            </w:r>
          </w:p>
        </w:tc>
        <w:tc>
          <w:tcPr>
            <w:tcW w:w="1701" w:type="dxa"/>
            <w:shd w:val="clear" w:color="auto" w:fill="auto"/>
          </w:tcPr>
          <w:p w:rsidR="008D42D0" w:rsidRPr="0090383C" w:rsidRDefault="00582B4D">
            <w:pPr>
              <w:rPr>
                <w:rFonts w:ascii="Times New Roman" w:hAnsi="Times New Roman"/>
                <w:sz w:val="24"/>
                <w:szCs w:val="24"/>
              </w:rPr>
            </w:pPr>
            <w:r w:rsidRPr="0090383C">
              <w:rPr>
                <w:rFonts w:ascii="Times New Roman" w:hAnsi="Times New Roman"/>
                <w:sz w:val="24"/>
                <w:szCs w:val="24"/>
              </w:rPr>
              <w:t>2020–2022</w:t>
            </w:r>
          </w:p>
        </w:tc>
      </w:tr>
      <w:tr w:rsidR="008D42D0" w:rsidRPr="0090383C" w:rsidTr="008D42D0">
        <w:tc>
          <w:tcPr>
            <w:tcW w:w="2019" w:type="dxa"/>
            <w:vMerge/>
            <w:tcBorders>
              <w:top w:val="nil"/>
              <w:left w:val="single" w:sz="4" w:space="0" w:color="auto"/>
              <w:bottom w:val="single" w:sz="4" w:space="0" w:color="auto"/>
              <w:right w:val="single" w:sz="4" w:space="0" w:color="auto"/>
            </w:tcBorders>
            <w:shd w:val="clear" w:color="auto" w:fill="auto"/>
          </w:tcPr>
          <w:p w:rsidR="008D42D0" w:rsidRPr="0090383C" w:rsidRDefault="008D42D0" w:rsidP="00CC3516">
            <w:pPr>
              <w:pStyle w:val="Default"/>
              <w:spacing w:after="9"/>
              <w:jc w:val="center"/>
              <w:rPr>
                <w:color w:val="auto"/>
                <w:sz w:val="23"/>
                <w:szCs w:val="23"/>
              </w:rPr>
            </w:pPr>
          </w:p>
        </w:tc>
        <w:tc>
          <w:tcPr>
            <w:tcW w:w="1890" w:type="dxa"/>
            <w:tcBorders>
              <w:left w:val="single" w:sz="4" w:space="0" w:color="auto"/>
              <w:right w:val="single" w:sz="4" w:space="0" w:color="auto"/>
            </w:tcBorders>
          </w:tcPr>
          <w:p w:rsidR="008D42D0" w:rsidRPr="0090383C" w:rsidRDefault="008D42D0" w:rsidP="00A058D9">
            <w:pPr>
              <w:pStyle w:val="Default"/>
              <w:spacing w:after="9"/>
              <w:rPr>
                <w:color w:val="auto"/>
              </w:rPr>
            </w:pPr>
          </w:p>
        </w:tc>
        <w:tc>
          <w:tcPr>
            <w:tcW w:w="4313" w:type="dxa"/>
            <w:tcBorders>
              <w:left w:val="single" w:sz="4" w:space="0" w:color="auto"/>
            </w:tcBorders>
            <w:shd w:val="clear" w:color="auto" w:fill="auto"/>
          </w:tcPr>
          <w:p w:rsidR="008D42D0" w:rsidRPr="0090383C" w:rsidRDefault="00BD64F5" w:rsidP="00A058D9">
            <w:pPr>
              <w:pStyle w:val="Default"/>
              <w:spacing w:after="9"/>
              <w:rPr>
                <w:color w:val="auto"/>
              </w:rPr>
            </w:pPr>
            <w:r w:rsidRPr="0090383C">
              <w:rPr>
                <w:color w:val="auto"/>
              </w:rPr>
              <w:t>Modernizuoti / plėtoti komunalinio ūkio infrastruktūrą, prioritetą teikiant gatvių ir perėjų apšvietimo ir modernizavimo, gatvių asfaltavimo, pėsčiųjų ir dviračių takų plėtrai, šaligatvių remonto darbams vykdyti, taikant universalaus dizaino principus, kuriant visiems patogią aplinką</w:t>
            </w:r>
          </w:p>
        </w:tc>
        <w:tc>
          <w:tcPr>
            <w:tcW w:w="1701" w:type="dxa"/>
            <w:shd w:val="clear" w:color="auto" w:fill="auto"/>
          </w:tcPr>
          <w:p w:rsidR="008D42D0" w:rsidRPr="0090383C" w:rsidRDefault="00582B4D">
            <w:pPr>
              <w:rPr>
                <w:rFonts w:ascii="Times New Roman" w:hAnsi="Times New Roman"/>
                <w:sz w:val="24"/>
                <w:szCs w:val="24"/>
              </w:rPr>
            </w:pPr>
            <w:r w:rsidRPr="0090383C">
              <w:rPr>
                <w:rFonts w:ascii="Times New Roman" w:hAnsi="Times New Roman"/>
                <w:sz w:val="24"/>
                <w:szCs w:val="24"/>
              </w:rPr>
              <w:t>2020–2022</w:t>
            </w:r>
          </w:p>
        </w:tc>
      </w:tr>
      <w:tr w:rsidR="008D42D0" w:rsidRPr="0090383C" w:rsidTr="008D42D0">
        <w:tc>
          <w:tcPr>
            <w:tcW w:w="2019" w:type="dxa"/>
            <w:vMerge/>
            <w:tcBorders>
              <w:top w:val="nil"/>
              <w:left w:val="single" w:sz="4" w:space="0" w:color="auto"/>
              <w:bottom w:val="single" w:sz="4" w:space="0" w:color="auto"/>
              <w:right w:val="single" w:sz="4" w:space="0" w:color="auto"/>
            </w:tcBorders>
            <w:shd w:val="clear" w:color="auto" w:fill="auto"/>
          </w:tcPr>
          <w:p w:rsidR="008D42D0" w:rsidRPr="0090383C" w:rsidRDefault="008D42D0" w:rsidP="00CC3516">
            <w:pPr>
              <w:pStyle w:val="Default"/>
              <w:spacing w:after="9"/>
              <w:jc w:val="center"/>
              <w:rPr>
                <w:color w:val="auto"/>
                <w:sz w:val="23"/>
                <w:szCs w:val="23"/>
              </w:rPr>
            </w:pPr>
          </w:p>
        </w:tc>
        <w:tc>
          <w:tcPr>
            <w:tcW w:w="1890" w:type="dxa"/>
            <w:tcBorders>
              <w:left w:val="single" w:sz="4" w:space="0" w:color="auto"/>
              <w:right w:val="single" w:sz="4" w:space="0" w:color="auto"/>
            </w:tcBorders>
          </w:tcPr>
          <w:p w:rsidR="008D42D0" w:rsidRPr="0090383C" w:rsidRDefault="008D42D0" w:rsidP="008D4387">
            <w:pPr>
              <w:pStyle w:val="Default"/>
              <w:rPr>
                <w:color w:val="auto"/>
              </w:rPr>
            </w:pPr>
          </w:p>
        </w:tc>
        <w:tc>
          <w:tcPr>
            <w:tcW w:w="4313" w:type="dxa"/>
            <w:tcBorders>
              <w:left w:val="single" w:sz="4" w:space="0" w:color="auto"/>
            </w:tcBorders>
            <w:shd w:val="clear" w:color="auto" w:fill="auto"/>
          </w:tcPr>
          <w:p w:rsidR="008D42D0" w:rsidRPr="0090383C" w:rsidRDefault="008D42D0" w:rsidP="008D4387">
            <w:pPr>
              <w:pStyle w:val="Default"/>
              <w:rPr>
                <w:color w:val="auto"/>
              </w:rPr>
            </w:pPr>
            <w:r w:rsidRPr="0090383C">
              <w:rPr>
                <w:color w:val="auto"/>
              </w:rPr>
              <w:t>Tobulinti viešojo reguliaraus susisiekimo paslaugas</w:t>
            </w:r>
          </w:p>
        </w:tc>
        <w:tc>
          <w:tcPr>
            <w:tcW w:w="1701" w:type="dxa"/>
            <w:shd w:val="clear" w:color="auto" w:fill="auto"/>
          </w:tcPr>
          <w:p w:rsidR="008D42D0" w:rsidRPr="0090383C" w:rsidRDefault="00582B4D">
            <w:pPr>
              <w:rPr>
                <w:rFonts w:ascii="Times New Roman" w:hAnsi="Times New Roman"/>
                <w:sz w:val="24"/>
                <w:szCs w:val="24"/>
              </w:rPr>
            </w:pPr>
            <w:r w:rsidRPr="0090383C">
              <w:rPr>
                <w:rFonts w:ascii="Times New Roman" w:hAnsi="Times New Roman"/>
                <w:sz w:val="24"/>
                <w:szCs w:val="24"/>
              </w:rPr>
              <w:t>2020–2022</w:t>
            </w:r>
          </w:p>
        </w:tc>
      </w:tr>
      <w:tr w:rsidR="008D42D0" w:rsidRPr="0090383C" w:rsidTr="008D42D0">
        <w:tc>
          <w:tcPr>
            <w:tcW w:w="2019" w:type="dxa"/>
            <w:vMerge/>
            <w:tcBorders>
              <w:top w:val="nil"/>
              <w:left w:val="single" w:sz="4" w:space="0" w:color="auto"/>
              <w:bottom w:val="single" w:sz="4" w:space="0" w:color="auto"/>
              <w:right w:val="single" w:sz="4" w:space="0" w:color="auto"/>
            </w:tcBorders>
            <w:shd w:val="clear" w:color="auto" w:fill="auto"/>
          </w:tcPr>
          <w:p w:rsidR="008D42D0" w:rsidRPr="0090383C" w:rsidRDefault="008D42D0" w:rsidP="00CC3516">
            <w:pPr>
              <w:pStyle w:val="Default"/>
              <w:spacing w:after="9"/>
              <w:jc w:val="center"/>
              <w:rPr>
                <w:color w:val="auto"/>
                <w:sz w:val="23"/>
                <w:szCs w:val="23"/>
              </w:rPr>
            </w:pPr>
          </w:p>
        </w:tc>
        <w:tc>
          <w:tcPr>
            <w:tcW w:w="1890" w:type="dxa"/>
            <w:tcBorders>
              <w:left w:val="single" w:sz="4" w:space="0" w:color="auto"/>
              <w:right w:val="single" w:sz="4" w:space="0" w:color="auto"/>
            </w:tcBorders>
          </w:tcPr>
          <w:p w:rsidR="008D42D0" w:rsidRPr="0090383C" w:rsidRDefault="008D42D0" w:rsidP="00CC3516">
            <w:pPr>
              <w:pStyle w:val="Default"/>
              <w:rPr>
                <w:color w:val="auto"/>
              </w:rPr>
            </w:pPr>
          </w:p>
        </w:tc>
        <w:tc>
          <w:tcPr>
            <w:tcW w:w="4313" w:type="dxa"/>
            <w:tcBorders>
              <w:left w:val="single" w:sz="4" w:space="0" w:color="auto"/>
            </w:tcBorders>
            <w:shd w:val="clear" w:color="auto" w:fill="auto"/>
          </w:tcPr>
          <w:p w:rsidR="008D42D0" w:rsidRPr="0090383C" w:rsidRDefault="008D42D0" w:rsidP="00CC3516">
            <w:pPr>
              <w:pStyle w:val="Default"/>
              <w:rPr>
                <w:color w:val="auto"/>
              </w:rPr>
            </w:pPr>
            <w:r w:rsidRPr="0090383C">
              <w:rPr>
                <w:color w:val="auto"/>
              </w:rPr>
              <w:t xml:space="preserve">Formuoti miesto išskirtinumą, kuriant naujas patrauklias erdves </w:t>
            </w:r>
          </w:p>
        </w:tc>
        <w:tc>
          <w:tcPr>
            <w:tcW w:w="1701" w:type="dxa"/>
            <w:shd w:val="clear" w:color="auto" w:fill="auto"/>
          </w:tcPr>
          <w:p w:rsidR="008D42D0" w:rsidRPr="0090383C" w:rsidRDefault="00582B4D">
            <w:pPr>
              <w:rPr>
                <w:rFonts w:ascii="Times New Roman" w:hAnsi="Times New Roman"/>
                <w:sz w:val="24"/>
                <w:szCs w:val="24"/>
              </w:rPr>
            </w:pPr>
            <w:r w:rsidRPr="0090383C">
              <w:rPr>
                <w:rFonts w:ascii="Times New Roman" w:hAnsi="Times New Roman"/>
                <w:sz w:val="24"/>
                <w:szCs w:val="24"/>
              </w:rPr>
              <w:t>2020–2022</w:t>
            </w:r>
          </w:p>
        </w:tc>
      </w:tr>
    </w:tbl>
    <w:p w:rsidR="00A81C80" w:rsidRPr="0090383C" w:rsidRDefault="00A81C80" w:rsidP="00A81C80">
      <w:pPr>
        <w:pStyle w:val="Default"/>
        <w:rPr>
          <w:bCs/>
          <w:color w:val="auto"/>
          <w:sz w:val="23"/>
          <w:szCs w:val="23"/>
        </w:rPr>
      </w:pPr>
    </w:p>
    <w:p w:rsidR="00A81C80" w:rsidRPr="0090383C" w:rsidRDefault="00A81C80" w:rsidP="00A81C80">
      <w:pPr>
        <w:pStyle w:val="Default"/>
        <w:jc w:val="center"/>
        <w:rPr>
          <w:b/>
          <w:bCs/>
          <w:color w:val="auto"/>
          <w:sz w:val="23"/>
          <w:szCs w:val="23"/>
        </w:rPr>
      </w:pPr>
      <w:r w:rsidRPr="0090383C">
        <w:rPr>
          <w:b/>
          <w:bCs/>
          <w:color w:val="auto"/>
          <w:sz w:val="23"/>
          <w:szCs w:val="23"/>
        </w:rPr>
        <w:t>STRATEGINIAI TIKSLAI IR PROGRAMŲ ĮGYVENDINIMAS</w:t>
      </w:r>
    </w:p>
    <w:p w:rsidR="00A81C80" w:rsidRPr="0090383C" w:rsidRDefault="00A81C80" w:rsidP="00A81C80">
      <w:pPr>
        <w:rPr>
          <w:rFonts w:ascii="Times New Roman" w:hAnsi="Times New Roman"/>
          <w:sz w:val="24"/>
          <w:szCs w:val="24"/>
          <w:lang w:eastAsia="lt-LT"/>
        </w:rPr>
      </w:pPr>
    </w:p>
    <w:tbl>
      <w:tblPr>
        <w:tblW w:w="9923"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36"/>
        <w:gridCol w:w="8287"/>
      </w:tblGrid>
      <w:tr w:rsidR="000F0FDE" w:rsidRPr="0090383C" w:rsidTr="00CC3516">
        <w:trPr>
          <w:cantSplit/>
          <w:trHeight w:val="471"/>
        </w:trPr>
        <w:tc>
          <w:tcPr>
            <w:tcW w:w="9923"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81C80" w:rsidRPr="0090383C" w:rsidRDefault="00A81C80" w:rsidP="00885CA6">
            <w:pPr>
              <w:spacing w:before="100" w:beforeAutospacing="1" w:after="100" w:afterAutospacing="1"/>
              <w:jc w:val="both"/>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01 STRATEGINIS TIKSLAS – užtikrinti gyventojams viešųjų paslaugų įvairovę</w:t>
            </w:r>
            <w:r w:rsidR="00885CA6" w:rsidRPr="0090383C">
              <w:rPr>
                <w:rFonts w:ascii="Times New Roman" w:eastAsia="Times New Roman" w:hAnsi="Times New Roman"/>
                <w:b/>
                <w:bCs/>
                <w:sz w:val="24"/>
                <w:szCs w:val="24"/>
                <w:lang w:eastAsia="lt-LT"/>
              </w:rPr>
              <w:t>,</w:t>
            </w:r>
            <w:r w:rsidRPr="0090383C">
              <w:rPr>
                <w:rFonts w:ascii="Times New Roman" w:eastAsia="Times New Roman" w:hAnsi="Times New Roman"/>
                <w:b/>
                <w:bCs/>
                <w:sz w:val="24"/>
                <w:szCs w:val="24"/>
                <w:lang w:eastAsia="lt-LT"/>
              </w:rPr>
              <w:t xml:space="preserve"> kokybę ir prieinamumą</w:t>
            </w:r>
          </w:p>
        </w:tc>
      </w:tr>
      <w:tr w:rsidR="000F0FDE" w:rsidRPr="0090383C" w:rsidTr="00CC3516">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185" w:lineRule="atLeast"/>
              <w:jc w:val="center"/>
              <w:rPr>
                <w:rFonts w:ascii="Times New Roman" w:eastAsia="Times New Roman" w:hAnsi="Times New Roman"/>
                <w:sz w:val="24"/>
                <w:szCs w:val="24"/>
                <w:lang w:eastAsia="lt-LT"/>
              </w:rPr>
            </w:pPr>
            <w:r w:rsidRPr="0090383C">
              <w:rPr>
                <w:rFonts w:ascii="Times New Roman" w:eastAsia="Times New Roman" w:hAnsi="Times New Roman"/>
                <w:sz w:val="24"/>
                <w:szCs w:val="24"/>
                <w:lang w:eastAsia="lt-LT"/>
              </w:rPr>
              <w:t>Kodas</w:t>
            </w:r>
          </w:p>
        </w:tc>
        <w:tc>
          <w:tcPr>
            <w:tcW w:w="8287"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185" w:lineRule="atLeast"/>
              <w:jc w:val="both"/>
              <w:rPr>
                <w:rFonts w:ascii="Times New Roman" w:eastAsia="Times New Roman" w:hAnsi="Times New Roman"/>
                <w:sz w:val="24"/>
                <w:szCs w:val="24"/>
                <w:lang w:eastAsia="lt-LT"/>
              </w:rPr>
            </w:pPr>
            <w:r w:rsidRPr="0090383C">
              <w:rPr>
                <w:rFonts w:ascii="Times New Roman" w:eastAsia="Times New Roman" w:hAnsi="Times New Roman"/>
                <w:sz w:val="24"/>
                <w:szCs w:val="24"/>
                <w:lang w:eastAsia="lt-LT"/>
              </w:rPr>
              <w:t>Įgyvendinant šį strateginį tikslą, vykdomos programos:</w:t>
            </w:r>
          </w:p>
        </w:tc>
      </w:tr>
      <w:tr w:rsidR="000F0FDE" w:rsidRPr="0090383C" w:rsidTr="00CC3516">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185" w:lineRule="atLeast"/>
              <w:jc w:val="center"/>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21</w:t>
            </w:r>
          </w:p>
        </w:tc>
        <w:tc>
          <w:tcPr>
            <w:tcW w:w="8287"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185" w:lineRule="atLeast"/>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Švietimo programa</w:t>
            </w:r>
          </w:p>
        </w:tc>
      </w:tr>
      <w:tr w:rsidR="000F0FDE" w:rsidRPr="0090383C" w:rsidTr="00CC3516">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185" w:lineRule="atLeast"/>
              <w:jc w:val="center"/>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22</w:t>
            </w:r>
          </w:p>
        </w:tc>
        <w:tc>
          <w:tcPr>
            <w:tcW w:w="8287"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185" w:lineRule="atLeast"/>
              <w:jc w:val="both"/>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Sveikatos apsaugos programa</w:t>
            </w:r>
          </w:p>
        </w:tc>
      </w:tr>
      <w:tr w:rsidR="000F0FDE" w:rsidRPr="0090383C" w:rsidTr="00CC3516">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185" w:lineRule="atLeast"/>
              <w:jc w:val="center"/>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23</w:t>
            </w:r>
          </w:p>
        </w:tc>
        <w:tc>
          <w:tcPr>
            <w:tcW w:w="8287"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185" w:lineRule="atLeast"/>
              <w:jc w:val="both"/>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Socialinės apsaugos programa</w:t>
            </w:r>
          </w:p>
        </w:tc>
      </w:tr>
      <w:tr w:rsidR="000F0FDE" w:rsidRPr="0090383C" w:rsidTr="00CC3516">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185" w:lineRule="atLeast"/>
              <w:jc w:val="center"/>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24</w:t>
            </w:r>
          </w:p>
        </w:tc>
        <w:tc>
          <w:tcPr>
            <w:tcW w:w="8287"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185" w:lineRule="atLeast"/>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Kultūros programa</w:t>
            </w:r>
          </w:p>
        </w:tc>
      </w:tr>
      <w:tr w:rsidR="000F0FDE" w:rsidRPr="0090383C" w:rsidTr="00CC3516">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1C80" w:rsidRPr="0090383C" w:rsidRDefault="00A81C80" w:rsidP="00CC3516">
            <w:pPr>
              <w:spacing w:before="100" w:beforeAutospacing="1" w:after="100" w:afterAutospacing="1" w:line="185" w:lineRule="atLeast"/>
              <w:jc w:val="center"/>
              <w:rPr>
                <w:rFonts w:ascii="Times New Roman" w:eastAsia="Times New Roman" w:hAnsi="Times New Roman"/>
                <w:b/>
                <w:bCs/>
                <w:sz w:val="24"/>
                <w:szCs w:val="24"/>
                <w:lang w:eastAsia="lt-LT"/>
              </w:rPr>
            </w:pPr>
            <w:r w:rsidRPr="0090383C">
              <w:rPr>
                <w:rFonts w:ascii="Times New Roman" w:eastAsia="Times New Roman" w:hAnsi="Times New Roman"/>
                <w:b/>
                <w:bCs/>
                <w:sz w:val="24"/>
                <w:szCs w:val="24"/>
                <w:lang w:eastAsia="lt-LT"/>
              </w:rPr>
              <w:t>25</w:t>
            </w:r>
          </w:p>
        </w:tc>
        <w:tc>
          <w:tcPr>
            <w:tcW w:w="8287" w:type="dxa"/>
            <w:tcBorders>
              <w:top w:val="nil"/>
              <w:left w:val="nil"/>
              <w:bottom w:val="single" w:sz="8" w:space="0" w:color="auto"/>
              <w:right w:val="single" w:sz="8" w:space="0" w:color="auto"/>
            </w:tcBorders>
            <w:tcMar>
              <w:top w:w="0" w:type="dxa"/>
              <w:left w:w="108" w:type="dxa"/>
              <w:bottom w:w="0" w:type="dxa"/>
              <w:right w:w="108" w:type="dxa"/>
            </w:tcMar>
          </w:tcPr>
          <w:p w:rsidR="00A81C80" w:rsidRPr="0090383C" w:rsidRDefault="00A81C80" w:rsidP="00CC3516">
            <w:pPr>
              <w:spacing w:before="100" w:beforeAutospacing="1" w:after="100" w:afterAutospacing="1" w:line="185" w:lineRule="atLeast"/>
              <w:rPr>
                <w:rFonts w:ascii="Times New Roman" w:eastAsia="Times New Roman" w:hAnsi="Times New Roman"/>
                <w:b/>
                <w:bCs/>
                <w:sz w:val="24"/>
                <w:szCs w:val="24"/>
                <w:lang w:eastAsia="lt-LT"/>
              </w:rPr>
            </w:pPr>
            <w:r w:rsidRPr="0090383C">
              <w:rPr>
                <w:rFonts w:ascii="Times New Roman" w:eastAsia="Times New Roman" w:hAnsi="Times New Roman"/>
                <w:b/>
                <w:bCs/>
                <w:sz w:val="24"/>
                <w:szCs w:val="24"/>
                <w:lang w:eastAsia="lt-LT"/>
              </w:rPr>
              <w:t>Kūno kultūros ir sporto programa</w:t>
            </w:r>
          </w:p>
        </w:tc>
      </w:tr>
      <w:tr w:rsidR="000F0FDE" w:rsidRPr="0090383C" w:rsidTr="00CC3516">
        <w:trPr>
          <w:cantSplit/>
          <w:trHeight w:val="185"/>
        </w:trPr>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1C80" w:rsidRPr="0090383C" w:rsidRDefault="00A81C80" w:rsidP="00CC3516">
            <w:pPr>
              <w:spacing w:before="100" w:beforeAutospacing="1" w:after="100" w:afterAutospacing="1" w:line="185" w:lineRule="atLeast"/>
              <w:jc w:val="center"/>
              <w:rPr>
                <w:rFonts w:ascii="Times New Roman" w:eastAsia="Times New Roman" w:hAnsi="Times New Roman"/>
                <w:b/>
                <w:bCs/>
                <w:sz w:val="24"/>
                <w:szCs w:val="24"/>
                <w:lang w:eastAsia="lt-LT"/>
              </w:rPr>
            </w:pPr>
            <w:r w:rsidRPr="0090383C">
              <w:rPr>
                <w:rFonts w:ascii="Times New Roman" w:eastAsia="Times New Roman" w:hAnsi="Times New Roman"/>
                <w:b/>
                <w:bCs/>
                <w:sz w:val="24"/>
                <w:szCs w:val="24"/>
                <w:lang w:eastAsia="lt-LT"/>
              </w:rPr>
              <w:t>26</w:t>
            </w:r>
          </w:p>
        </w:tc>
        <w:tc>
          <w:tcPr>
            <w:tcW w:w="8287" w:type="dxa"/>
            <w:tcBorders>
              <w:top w:val="nil"/>
              <w:left w:val="nil"/>
              <w:bottom w:val="single" w:sz="8" w:space="0" w:color="auto"/>
              <w:right w:val="single" w:sz="8" w:space="0" w:color="auto"/>
            </w:tcBorders>
            <w:tcMar>
              <w:top w:w="0" w:type="dxa"/>
              <w:left w:w="108" w:type="dxa"/>
              <w:bottom w:w="0" w:type="dxa"/>
              <w:right w:w="108" w:type="dxa"/>
            </w:tcMar>
          </w:tcPr>
          <w:p w:rsidR="00A81C80" w:rsidRPr="0090383C" w:rsidRDefault="00A81C80" w:rsidP="00CC3516">
            <w:pPr>
              <w:spacing w:before="100" w:beforeAutospacing="1" w:after="100" w:afterAutospacing="1" w:line="185" w:lineRule="atLeast"/>
              <w:rPr>
                <w:rFonts w:ascii="Times New Roman" w:eastAsia="Times New Roman" w:hAnsi="Times New Roman"/>
                <w:b/>
                <w:bCs/>
                <w:sz w:val="24"/>
                <w:szCs w:val="24"/>
                <w:lang w:eastAsia="lt-LT"/>
              </w:rPr>
            </w:pPr>
            <w:r w:rsidRPr="0090383C">
              <w:rPr>
                <w:rFonts w:ascii="Times New Roman" w:eastAsia="Times New Roman" w:hAnsi="Times New Roman"/>
                <w:b/>
                <w:bCs/>
                <w:sz w:val="24"/>
                <w:szCs w:val="24"/>
                <w:lang w:eastAsia="lt-LT"/>
              </w:rPr>
              <w:t>Savivaldybės veiklos programa</w:t>
            </w:r>
          </w:p>
        </w:tc>
      </w:tr>
    </w:tbl>
    <w:p w:rsidR="00A81C80" w:rsidRPr="0090383C" w:rsidRDefault="00A81C80" w:rsidP="00A81C80">
      <w:pPr>
        <w:pStyle w:val="Default"/>
        <w:jc w:val="center"/>
        <w:rPr>
          <w:color w:val="auto"/>
          <w:sz w:val="23"/>
          <w:szCs w:val="23"/>
        </w:rPr>
      </w:pPr>
    </w:p>
    <w:p w:rsidR="00A81C80" w:rsidRPr="0090383C" w:rsidRDefault="00A81C80" w:rsidP="00A81C80">
      <w:pPr>
        <w:ind w:firstLine="1247"/>
        <w:jc w:val="both"/>
        <w:rPr>
          <w:rFonts w:ascii="Times New Roman" w:eastAsia="Times New Roman" w:hAnsi="Times New Roman"/>
          <w:sz w:val="24"/>
          <w:szCs w:val="24"/>
        </w:rPr>
      </w:pPr>
      <w:r w:rsidRPr="0090383C">
        <w:rPr>
          <w:rFonts w:ascii="Times New Roman" w:hAnsi="Times New Roman"/>
          <w:iCs/>
          <w:sz w:val="24"/>
          <w:szCs w:val="24"/>
        </w:rPr>
        <w:tab/>
        <w:t>V</w:t>
      </w:r>
      <w:r w:rsidRPr="0090383C">
        <w:rPr>
          <w:rFonts w:ascii="Times New Roman" w:eastAsia="Times New Roman" w:hAnsi="Times New Roman"/>
          <w:sz w:val="24"/>
          <w:szCs w:val="24"/>
        </w:rPr>
        <w:t xml:space="preserve">iešojo administravimo organizacijose per pastaruosius kelerius metus galima pastebėti labai didelį susidomėjimą viešojo sektoriaus valdymo efektyvumo gerinimo sprendimais. Sistemingai gerinti, tobulinti veiklą ir didinti teikiamų paslaugų kokybę savivaldybę taip pat skatina išaugę vartotojų (piliečių) aptarnavimo lūkesčiai bei ES mastu plėtojama iniciatyva ir rekomendacijos. Siekiant užtikrinti savivaldybės veiklos valdymo efektyvumą ir patenkinti </w:t>
      </w:r>
      <w:r w:rsidRPr="0090383C">
        <w:rPr>
          <w:rFonts w:ascii="Times New Roman" w:eastAsia="Times New Roman" w:hAnsi="Times New Roman"/>
          <w:sz w:val="24"/>
          <w:szCs w:val="24"/>
        </w:rPr>
        <w:lastRenderedPageBreak/>
        <w:t xml:space="preserve">vartotojų aptarnavimo lūkesčius, numatomos priemonės, mažinančios administracinę naštą fiziniams ir juridiniams asmenims, užtikrinant sistemingą savivaldybės valstybės tarnautojų ir darbuotojų mokymąsi, gerinant savivaldybės veiklos planavimą ir valdymą, diegiant modernius vadybos metodus, skatinant aktyvesnį bendradarbiavimą su visuomene. Numatyta efektyviai valdyti ir atnaujinti savivaldybės valdomą ir nuomojamą turtą, plėtoti elektroninės valdžios ir elektroninės demokratijos priemones. </w:t>
      </w:r>
    </w:p>
    <w:p w:rsidR="00CC3516" w:rsidRPr="0090383C" w:rsidRDefault="00CC3516" w:rsidP="00CC3516">
      <w:pPr>
        <w:autoSpaceDE w:val="0"/>
        <w:autoSpaceDN w:val="0"/>
        <w:adjustRightInd w:val="0"/>
        <w:jc w:val="both"/>
        <w:rPr>
          <w:rFonts w:ascii="Times New Roman" w:eastAsiaTheme="minorHAnsi" w:hAnsi="Times New Roman"/>
          <w:sz w:val="24"/>
          <w:szCs w:val="24"/>
        </w:rPr>
      </w:pPr>
      <w:r w:rsidRPr="0090383C">
        <w:rPr>
          <w:rFonts w:ascii="Times New Roman" w:eastAsiaTheme="minorHAnsi" w:hAnsi="Times New Roman"/>
          <w:sz w:val="24"/>
          <w:szCs w:val="24"/>
        </w:rPr>
        <w:tab/>
        <w:t>Vienas iš Alytaus miesto savivaldyb</w:t>
      </w:r>
      <w:r w:rsidRPr="0090383C">
        <w:rPr>
          <w:rFonts w:ascii="TimesNewRoman" w:eastAsia="TimesNewRoman" w:hAnsi="Times New Roman" w:cs="TimesNewRoman"/>
          <w:sz w:val="24"/>
          <w:szCs w:val="24"/>
        </w:rPr>
        <w:t>ė</w:t>
      </w:r>
      <w:r w:rsidRPr="0090383C">
        <w:rPr>
          <w:rFonts w:ascii="Times New Roman" w:eastAsiaTheme="minorHAnsi" w:hAnsi="Times New Roman"/>
          <w:sz w:val="24"/>
          <w:szCs w:val="24"/>
        </w:rPr>
        <w:t>s veiklos prioritet</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yra tobulinti gyventoj</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aptarnavimo sistem</w:t>
      </w:r>
      <w:r w:rsidRPr="0090383C">
        <w:rPr>
          <w:rFonts w:ascii="TimesNewRoman" w:eastAsia="TimesNewRoman" w:hAnsi="Times New Roman" w:cs="TimesNewRoman"/>
          <w:sz w:val="24"/>
          <w:szCs w:val="24"/>
        </w:rPr>
        <w:t>ą</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savivaldyb</w:t>
      </w:r>
      <w:r w:rsidRPr="0090383C">
        <w:rPr>
          <w:rFonts w:ascii="TimesNewRoman" w:eastAsia="TimesNewRoman" w:hAnsi="Times New Roman" w:cs="TimesNewRoman"/>
          <w:sz w:val="24"/>
          <w:szCs w:val="24"/>
        </w:rPr>
        <w:t>ė</w:t>
      </w:r>
      <w:r w:rsidRPr="0090383C">
        <w:rPr>
          <w:rFonts w:ascii="Times New Roman" w:eastAsiaTheme="minorHAnsi" w:hAnsi="Times New Roman"/>
          <w:sz w:val="24"/>
          <w:szCs w:val="24"/>
        </w:rPr>
        <w:t xml:space="preserve">je, vis daugiau perkeliant </w:t>
      </w:r>
      <w:r w:rsidRPr="0090383C">
        <w:rPr>
          <w:rFonts w:ascii="TimesNewRoman" w:eastAsia="TimesNewRoman" w:hAnsi="Times New Roman" w:cs="TimesNewRoman"/>
          <w:sz w:val="24"/>
          <w:szCs w:val="24"/>
        </w:rPr>
        <w:t>į</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el. terp</w:t>
      </w:r>
      <w:r w:rsidRPr="0090383C">
        <w:rPr>
          <w:rFonts w:ascii="TimesNewRoman" w:eastAsia="TimesNewRoman" w:hAnsi="Times New Roman" w:cs="TimesNewRoman"/>
          <w:sz w:val="24"/>
          <w:szCs w:val="24"/>
        </w:rPr>
        <w:t>ę</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savivaldyb</w:t>
      </w:r>
      <w:r w:rsidRPr="0090383C">
        <w:rPr>
          <w:rFonts w:ascii="TimesNewRoman" w:eastAsia="TimesNewRoman" w:hAnsi="Times New Roman" w:cs="TimesNewRoman"/>
          <w:sz w:val="24"/>
          <w:szCs w:val="24"/>
        </w:rPr>
        <w:t>ė</w:t>
      </w:r>
      <w:r w:rsidRPr="0090383C">
        <w:rPr>
          <w:rFonts w:ascii="Times New Roman" w:eastAsiaTheme="minorHAnsi" w:hAnsi="Times New Roman"/>
          <w:sz w:val="24"/>
          <w:szCs w:val="24"/>
        </w:rPr>
        <w:t>s teikiam</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ir administruojam</w:t>
      </w:r>
      <w:r w:rsidRPr="0090383C">
        <w:rPr>
          <w:rFonts w:ascii="TimesNewRoman" w:eastAsia="TimesNewRoman" w:hAnsi="Times New Roman" w:cs="TimesNewRoman"/>
          <w:sz w:val="24"/>
          <w:szCs w:val="24"/>
        </w:rPr>
        <w:t>ų</w:t>
      </w:r>
      <w:r w:rsidRPr="0090383C">
        <w:rPr>
          <w:rFonts w:ascii="Times New Roman" w:eastAsiaTheme="minorHAnsi" w:hAnsi="Times New Roman"/>
          <w:sz w:val="24"/>
          <w:szCs w:val="24"/>
        </w:rPr>
        <w:t xml:space="preserve"> paslaug</w:t>
      </w:r>
      <w:r w:rsidRPr="0090383C">
        <w:rPr>
          <w:rFonts w:ascii="TimesNewRoman" w:eastAsia="TimesNewRoman" w:hAnsi="Times New Roman" w:cs="TimesNewRoman"/>
          <w:sz w:val="24"/>
          <w:szCs w:val="24"/>
        </w:rPr>
        <w:t>ų</w:t>
      </w:r>
      <w:r w:rsidRPr="0090383C">
        <w:rPr>
          <w:rFonts w:ascii="Times New Roman" w:eastAsiaTheme="minorHAnsi" w:hAnsi="Times New Roman"/>
          <w:sz w:val="24"/>
          <w:szCs w:val="24"/>
        </w:rPr>
        <w:t>. Informacini</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technologij</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naudojimas viešojo administravimo sektoriuje sudaro prielaidas pagerinti gyventojams teikiam</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paslaug</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kokyb</w:t>
      </w:r>
      <w:r w:rsidRPr="0090383C">
        <w:rPr>
          <w:rFonts w:ascii="TimesNewRoman" w:eastAsia="TimesNewRoman" w:hAnsi="Times New Roman" w:cs="TimesNewRoman"/>
          <w:sz w:val="24"/>
          <w:szCs w:val="24"/>
        </w:rPr>
        <w:t>ę</w:t>
      </w:r>
      <w:r w:rsidRPr="0090383C">
        <w:rPr>
          <w:rFonts w:ascii="Times New Roman" w:eastAsiaTheme="minorHAnsi" w:hAnsi="Times New Roman"/>
          <w:sz w:val="24"/>
          <w:szCs w:val="24"/>
        </w:rPr>
        <w:t>, klausim</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sprendim</w:t>
      </w:r>
      <w:r w:rsidRPr="0090383C">
        <w:rPr>
          <w:rFonts w:ascii="TimesNewRoman" w:eastAsia="TimesNewRoman" w:hAnsi="Times New Roman" w:cs="TimesNewRoman"/>
          <w:sz w:val="24"/>
          <w:szCs w:val="24"/>
        </w:rPr>
        <w:t>ą</w:t>
      </w:r>
      <w:r w:rsidRPr="0090383C">
        <w:rPr>
          <w:rFonts w:ascii="Times New Roman" w:eastAsiaTheme="minorHAnsi" w:hAnsi="Times New Roman"/>
          <w:sz w:val="24"/>
          <w:szCs w:val="24"/>
        </w:rPr>
        <w:t>, didinti veiklos skaidrum</w:t>
      </w:r>
      <w:r w:rsidRPr="0090383C">
        <w:rPr>
          <w:rFonts w:ascii="TimesNewRoman" w:eastAsia="TimesNewRoman" w:hAnsi="Times New Roman" w:cs="TimesNewRoman"/>
          <w:sz w:val="24"/>
          <w:szCs w:val="24"/>
        </w:rPr>
        <w:t>ą</w:t>
      </w:r>
      <w:r w:rsidRPr="0090383C">
        <w:rPr>
          <w:rFonts w:ascii="Times New Roman" w:eastAsiaTheme="minorHAnsi" w:hAnsi="Times New Roman"/>
          <w:sz w:val="24"/>
          <w:szCs w:val="24"/>
        </w:rPr>
        <w:t xml:space="preserve">. Jau keleri metai </w:t>
      </w:r>
      <w:r w:rsidR="00443417" w:rsidRPr="0090383C">
        <w:rPr>
          <w:rFonts w:ascii="Times New Roman" w:eastAsiaTheme="minorHAnsi" w:hAnsi="Times New Roman"/>
          <w:sz w:val="24"/>
          <w:szCs w:val="24"/>
        </w:rPr>
        <w:t>s</w:t>
      </w:r>
      <w:r w:rsidRPr="0090383C">
        <w:rPr>
          <w:rFonts w:ascii="Times New Roman" w:eastAsiaTheme="minorHAnsi" w:hAnsi="Times New Roman"/>
          <w:sz w:val="24"/>
          <w:szCs w:val="24"/>
        </w:rPr>
        <w:t>avivaldyb</w:t>
      </w:r>
      <w:r w:rsidRPr="0090383C">
        <w:rPr>
          <w:rFonts w:ascii="TimesNewRoman" w:eastAsia="TimesNewRoman" w:hAnsi="Times New Roman" w:cs="TimesNewRoman"/>
          <w:sz w:val="24"/>
          <w:szCs w:val="24"/>
        </w:rPr>
        <w:t>ė</w:t>
      </w:r>
      <w:r w:rsidRPr="0090383C">
        <w:rPr>
          <w:rFonts w:ascii="Times New Roman" w:eastAsiaTheme="minorHAnsi" w:hAnsi="Times New Roman"/>
          <w:sz w:val="24"/>
          <w:szCs w:val="24"/>
        </w:rPr>
        <w:t xml:space="preserve">s interneto </w:t>
      </w:r>
      <w:r w:rsidR="00443417" w:rsidRPr="0090383C">
        <w:rPr>
          <w:rFonts w:ascii="Times New Roman" w:eastAsiaTheme="minorHAnsi" w:hAnsi="Times New Roman"/>
          <w:sz w:val="24"/>
          <w:szCs w:val="24"/>
        </w:rPr>
        <w:t>svetainė</w:t>
      </w:r>
      <w:r w:rsidRPr="0090383C">
        <w:rPr>
          <w:rFonts w:ascii="Times New Roman" w:eastAsiaTheme="minorHAnsi" w:hAnsi="Times New Roman"/>
          <w:sz w:val="24"/>
          <w:szCs w:val="24"/>
        </w:rPr>
        <w:t xml:space="preserve">je </w:t>
      </w:r>
      <w:r w:rsidR="00443417" w:rsidRPr="0090383C">
        <w:rPr>
          <w:rFonts w:ascii="Times New Roman" w:eastAsiaTheme="minorHAnsi" w:hAnsi="Times New Roman"/>
          <w:sz w:val="24"/>
          <w:szCs w:val="24"/>
        </w:rPr>
        <w:t xml:space="preserve">(portale) </w:t>
      </w:r>
      <w:r w:rsidRPr="0090383C">
        <w:rPr>
          <w:rFonts w:ascii="Times New Roman" w:eastAsiaTheme="minorHAnsi" w:hAnsi="Times New Roman"/>
          <w:sz w:val="24"/>
          <w:szCs w:val="24"/>
        </w:rPr>
        <w:t>skelbiami ir nuolat atnaujinami vis</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teikiam</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administracini</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paslaug</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 xml:space="preserve">aprašymai, </w:t>
      </w:r>
      <w:r w:rsidR="00443417" w:rsidRPr="0090383C">
        <w:rPr>
          <w:rFonts w:ascii="Times New Roman" w:eastAsiaTheme="minorHAnsi" w:hAnsi="Times New Roman"/>
          <w:sz w:val="24"/>
          <w:szCs w:val="24"/>
        </w:rPr>
        <w:t>j</w:t>
      </w:r>
      <w:r w:rsidRPr="0090383C">
        <w:rPr>
          <w:rFonts w:ascii="Times New Roman" w:eastAsiaTheme="minorHAnsi" w:hAnsi="Times New Roman"/>
          <w:sz w:val="24"/>
          <w:szCs w:val="24"/>
        </w:rPr>
        <w:t>uose nurodyti teis</w:t>
      </w:r>
      <w:r w:rsidRPr="0090383C">
        <w:rPr>
          <w:rFonts w:ascii="TimesNewRoman" w:eastAsia="TimesNewRoman" w:hAnsi="Times New Roman" w:cs="TimesNewRoman"/>
          <w:sz w:val="24"/>
          <w:szCs w:val="24"/>
        </w:rPr>
        <w:t>ė</w:t>
      </w:r>
      <w:r w:rsidRPr="0090383C">
        <w:rPr>
          <w:rFonts w:ascii="Times New Roman" w:eastAsiaTheme="minorHAnsi" w:hAnsi="Times New Roman"/>
          <w:sz w:val="24"/>
          <w:szCs w:val="24"/>
        </w:rPr>
        <w:t>s aktai, reguliuojantys</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paslaugos teikim</w:t>
      </w:r>
      <w:r w:rsidRPr="0090383C">
        <w:rPr>
          <w:rFonts w:ascii="TimesNewRoman" w:eastAsia="TimesNewRoman" w:hAnsi="Times New Roman" w:cs="TimesNewRoman"/>
          <w:sz w:val="24"/>
          <w:szCs w:val="24"/>
        </w:rPr>
        <w:t>ą</w:t>
      </w:r>
      <w:r w:rsidRPr="0090383C">
        <w:rPr>
          <w:rFonts w:ascii="Times New Roman" w:eastAsiaTheme="minorHAnsi" w:hAnsi="Times New Roman"/>
          <w:sz w:val="24"/>
          <w:szCs w:val="24"/>
        </w:rPr>
        <w:t>, informacija bei dokumentai, kuriuos turi pateikti pareišk</w:t>
      </w:r>
      <w:r w:rsidRPr="0090383C">
        <w:rPr>
          <w:rFonts w:ascii="TimesNewRoman" w:eastAsia="TimesNewRoman" w:hAnsi="Times New Roman" w:cs="TimesNewRoman"/>
          <w:sz w:val="24"/>
          <w:szCs w:val="24"/>
        </w:rPr>
        <w:t>ė</w:t>
      </w:r>
      <w:r w:rsidRPr="0090383C">
        <w:rPr>
          <w:rFonts w:ascii="Times New Roman" w:eastAsiaTheme="minorHAnsi" w:hAnsi="Times New Roman"/>
          <w:sz w:val="24"/>
          <w:szCs w:val="24"/>
        </w:rPr>
        <w:t>jai, b</w:t>
      </w:r>
      <w:r w:rsidRPr="0090383C">
        <w:rPr>
          <w:rFonts w:ascii="TimesNewRoman" w:eastAsia="TimesNewRoman" w:hAnsi="Times New Roman" w:cs="TimesNewRoman"/>
          <w:sz w:val="24"/>
          <w:szCs w:val="24"/>
        </w:rPr>
        <w:t>ū</w:t>
      </w:r>
      <w:r w:rsidRPr="0090383C">
        <w:rPr>
          <w:rFonts w:ascii="Times New Roman" w:eastAsiaTheme="minorHAnsi" w:hAnsi="Times New Roman"/>
          <w:sz w:val="24"/>
          <w:szCs w:val="24"/>
        </w:rPr>
        <w:t>tin</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veiksm</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sekos schemos, pateiktos prašym</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formos.</w:t>
      </w:r>
    </w:p>
    <w:p w:rsidR="00866E36" w:rsidRPr="0090383C" w:rsidRDefault="00866E36" w:rsidP="00866E36">
      <w:pPr>
        <w:ind w:firstLine="709"/>
        <w:jc w:val="both"/>
        <w:rPr>
          <w:rFonts w:ascii="Times New Roman" w:eastAsia="Times New Roman" w:hAnsi="Times New Roman"/>
          <w:noProof/>
          <w:sz w:val="24"/>
          <w:szCs w:val="24"/>
        </w:rPr>
      </w:pPr>
      <w:r w:rsidRPr="0090383C">
        <w:rPr>
          <w:rFonts w:ascii="Times New Roman" w:eastAsiaTheme="minorHAnsi" w:hAnsi="Times New Roman"/>
          <w:sz w:val="24"/>
          <w:szCs w:val="24"/>
        </w:rPr>
        <w:tab/>
        <w:t xml:space="preserve">Norėdama skatinti gyventojų bendruomeniškumą, savivaldybė ketina toliau remti nevyriausybinių organizacijų (NVO) veiklą, </w:t>
      </w:r>
      <w:r w:rsidRPr="0090383C">
        <w:rPr>
          <w:rFonts w:ascii="Times New Roman" w:eastAsia="Times New Roman" w:hAnsi="Times New Roman"/>
          <w:noProof/>
          <w:sz w:val="24"/>
          <w:szCs w:val="24"/>
        </w:rPr>
        <w:t xml:space="preserve">siekia įtraukti gyventojus į sprendimų priėmimą, ypač svarstant aktualius daugiabučių namų kiemų tvarkymo, įvairių paslaugų teikimo klausimus. Jau antrus metus sėkmingai įgyvendinamas </w:t>
      </w:r>
      <w:r w:rsidRPr="0090383C">
        <w:rPr>
          <w:rFonts w:ascii="TimesLT" w:eastAsia="Times New Roman" w:hAnsi="TimesLT"/>
          <w:bCs/>
          <w:sz w:val="24"/>
          <w:szCs w:val="20"/>
          <w:lang w:eastAsia="lt-LT"/>
        </w:rPr>
        <w:t>Bendruomenės iniciatyvų, skirtų gyvenamajai aplinkai gerinti,</w:t>
      </w:r>
      <w:r w:rsidRPr="0090383C">
        <w:rPr>
          <w:rFonts w:ascii="TimesLT" w:eastAsia="Times New Roman" w:hAnsi="TimesLT"/>
          <w:b/>
          <w:bCs/>
          <w:sz w:val="24"/>
          <w:szCs w:val="20"/>
          <w:lang w:eastAsia="lt-LT"/>
        </w:rPr>
        <w:t xml:space="preserve"> </w:t>
      </w:r>
      <w:r w:rsidRPr="0090383C">
        <w:rPr>
          <w:rFonts w:ascii="TimesLT" w:eastAsia="Times New Roman" w:hAnsi="TimesLT"/>
          <w:sz w:val="24"/>
          <w:szCs w:val="20"/>
          <w:lang w:eastAsia="lt-LT"/>
        </w:rPr>
        <w:t>projektas. Įgyvendinant šią iniciatyvą atrenkami ir  įgyvendinami miesto gyventojų išrinkti projektai, kurie aktualūs gyventojams.</w:t>
      </w:r>
    </w:p>
    <w:p w:rsidR="008F3918" w:rsidRPr="0090383C" w:rsidRDefault="00A81C80" w:rsidP="00AA2005">
      <w:pPr>
        <w:pStyle w:val="Default"/>
        <w:jc w:val="both"/>
        <w:rPr>
          <w:color w:val="auto"/>
        </w:rPr>
      </w:pPr>
      <w:r w:rsidRPr="0090383C">
        <w:rPr>
          <w:iCs/>
          <w:color w:val="auto"/>
        </w:rPr>
        <w:tab/>
      </w:r>
      <w:r w:rsidR="008F3918" w:rsidRPr="0090383C">
        <w:rPr>
          <w:iCs/>
          <w:color w:val="auto"/>
        </w:rPr>
        <w:t>2020–2022</w:t>
      </w:r>
      <w:r w:rsidRPr="0090383C">
        <w:rPr>
          <w:iCs/>
          <w:color w:val="auto"/>
        </w:rPr>
        <w:t xml:space="preserve"> m. bus siekiama užtikrinti ugdymo kokybę bendrojo ugdymo įstaigose naudojant modernias švietimo technologijas ugdymo turiniui perteikti, modernizuojant ugdymo aplinką. Toliau bus įgyvendinamos neformaliojo vaikų, jaunimo ir suaugusiųjų mokymo / švietimo programos. Prioritetas teikiamas švietimo paslaugų kokybei, vaikų socializacijai, meninei, kūrybinei saviraiškai skatinti ir remti. </w:t>
      </w:r>
      <w:r w:rsidR="008F3918" w:rsidRPr="0090383C">
        <w:rPr>
          <w:color w:val="auto"/>
        </w:rPr>
        <w:t>2020</w:t>
      </w:r>
      <w:r w:rsidRPr="0090383C">
        <w:rPr>
          <w:color w:val="auto"/>
        </w:rPr>
        <w:t xml:space="preserve"> m.</w:t>
      </w:r>
      <w:r w:rsidR="00413E98" w:rsidRPr="0090383C">
        <w:rPr>
          <w:color w:val="auto"/>
        </w:rPr>
        <w:t xml:space="preserve"> numatyta švietimo tinklo pertvarka</w:t>
      </w:r>
      <w:r w:rsidR="00413E98" w:rsidRPr="0090383C">
        <w:rPr>
          <w:color w:val="auto"/>
          <w:sz w:val="22"/>
        </w:rPr>
        <w:t xml:space="preserve">. </w:t>
      </w:r>
      <w:r w:rsidRPr="0090383C">
        <w:rPr>
          <w:color w:val="auto"/>
          <w:sz w:val="22"/>
        </w:rPr>
        <w:t xml:space="preserve"> </w:t>
      </w:r>
      <w:r w:rsidR="00413E98" w:rsidRPr="0090383C">
        <w:rPr>
          <w:color w:val="auto"/>
        </w:rPr>
        <w:t>Švietimo įstaigų tinklo pertvarka leis sutaupytas lėšas panaudoti švietimo kokybės gerinimui. Būtų tobulinama pedagogų kvalifikacija, modernizuojama ugdymo aplinka, investuojama į aukštesnių mokymosi rezultatų siekimą.</w:t>
      </w:r>
      <w:r w:rsidRPr="0090383C">
        <w:rPr>
          <w:color w:val="auto"/>
        </w:rPr>
        <w:t xml:space="preserve"> Įrengus  naujus sporto aikštynus šalia mokyklų, pagerės ne tik mokyklų auklėtinių kūno kultūros veiklos sąlygos, bet ir bus sudarytos sąlygos vietos bendruomenei aktyviai praleisti laisvalaikį. </w:t>
      </w:r>
    </w:p>
    <w:p w:rsidR="00A81C80" w:rsidRPr="0090383C" w:rsidRDefault="00AA2005" w:rsidP="00955A96">
      <w:pPr>
        <w:ind w:firstLine="709"/>
        <w:jc w:val="both"/>
        <w:rPr>
          <w:rFonts w:ascii="Times New Roman" w:eastAsia="Times New Roman" w:hAnsi="Times New Roman"/>
          <w:noProof/>
          <w:sz w:val="24"/>
          <w:szCs w:val="24"/>
        </w:rPr>
      </w:pPr>
      <w:r w:rsidRPr="0090383C">
        <w:rPr>
          <w:rFonts w:ascii="Times New Roman" w:hAnsi="Times New Roman"/>
          <w:sz w:val="24"/>
          <w:szCs w:val="24"/>
          <w:lang w:eastAsia="lt-LT"/>
        </w:rPr>
        <w:tab/>
        <w:t>Ypač aktualus miestui yra jaunimo pritraukimo ir išlaikymo mieste klausimas.</w:t>
      </w:r>
      <w:r w:rsidRPr="0090383C">
        <w:rPr>
          <w:rFonts w:ascii="Times New Roman" w:hAnsi="Times New Roman"/>
          <w:iCs/>
          <w:sz w:val="24"/>
          <w:szCs w:val="24"/>
          <w:lang w:eastAsia="lt-LT"/>
        </w:rPr>
        <w:t xml:space="preserve"> </w:t>
      </w:r>
      <w:r w:rsidR="005D6C28" w:rsidRPr="0090383C">
        <w:rPr>
          <w:rFonts w:ascii="Times New Roman" w:hAnsi="Times New Roman"/>
          <w:iCs/>
          <w:sz w:val="24"/>
          <w:szCs w:val="24"/>
        </w:rPr>
        <w:t>2</w:t>
      </w:r>
      <w:r w:rsidRPr="0090383C">
        <w:rPr>
          <w:rFonts w:ascii="Times New Roman" w:hAnsi="Times New Roman"/>
          <w:iCs/>
          <w:sz w:val="24"/>
          <w:szCs w:val="24"/>
        </w:rPr>
        <w:t>020–2022</w:t>
      </w:r>
      <w:r w:rsidR="00A81C80" w:rsidRPr="0090383C">
        <w:rPr>
          <w:rFonts w:ascii="Times New Roman" w:hAnsi="Times New Roman"/>
          <w:iCs/>
          <w:sz w:val="24"/>
          <w:szCs w:val="24"/>
        </w:rPr>
        <w:t xml:space="preserve"> m. prioritetinėmis jaunimo politikos sritimis mieste laikomos: jaunimo užimtumo didinimas, savanorystė ir mentorystė, jaunimo iniciatyvos ir verslumo skatinimas, jaunimo sveikatos stiprinimas, jaunimo pilietiškumo skatinimas, jaunimui patrauklios infrastruktūros kūrimas.</w:t>
      </w:r>
      <w:r w:rsidR="00955A96" w:rsidRPr="0090383C">
        <w:rPr>
          <w:rFonts w:ascii="Times New Roman" w:hAnsi="Times New Roman"/>
          <w:iCs/>
          <w:sz w:val="24"/>
          <w:szCs w:val="24"/>
        </w:rPr>
        <w:t xml:space="preserve"> </w:t>
      </w:r>
      <w:r w:rsidR="00955A96" w:rsidRPr="0090383C">
        <w:rPr>
          <w:rFonts w:ascii="Times New Roman" w:eastAsia="Times New Roman" w:hAnsi="Times New Roman"/>
          <w:noProof/>
          <w:sz w:val="24"/>
          <w:szCs w:val="24"/>
        </w:rPr>
        <w:t xml:space="preserve">Ypač aktualus miestui yra jaunimo pritraukimo ir išlaikymo mieste klausimas, dėl to įgyvendinamos ir planuojamos įgyvendinti įvairios priemonės – bendradarbiaujama su mieste veikiančiomis profesinėmis mokyklomis ir kolegija, siekiant kuo plačiau išviešinti miesto, Pietų Lietuvos </w:t>
      </w:r>
      <w:r w:rsidR="00282E3B" w:rsidRPr="0090383C">
        <w:rPr>
          <w:rFonts w:ascii="Times New Roman" w:eastAsia="Times New Roman" w:hAnsi="Times New Roman"/>
          <w:noProof/>
          <w:sz w:val="24"/>
          <w:szCs w:val="24"/>
        </w:rPr>
        <w:t>regiono ir visos šalies jaunimo</w:t>
      </w:r>
      <w:r w:rsidR="00955A96" w:rsidRPr="0090383C">
        <w:rPr>
          <w:rFonts w:ascii="Times New Roman" w:eastAsia="Times New Roman" w:hAnsi="Times New Roman"/>
          <w:noProof/>
          <w:sz w:val="24"/>
          <w:szCs w:val="24"/>
        </w:rPr>
        <w:t xml:space="preserve"> galimybes mokytis Alytuje, organizuojamas jaunimo ir su jaunimo dirbančių NVO projektų rėmimas, planuojama kurti naujas erdves, skirtas prasmingam jaunimo laisvalaikiui. </w:t>
      </w:r>
    </w:p>
    <w:p w:rsidR="00955A96" w:rsidRPr="0090383C" w:rsidRDefault="00955A96" w:rsidP="00955A96">
      <w:pPr>
        <w:ind w:firstLine="709"/>
        <w:jc w:val="both"/>
        <w:rPr>
          <w:rFonts w:ascii="Times New Roman" w:eastAsia="Times New Roman" w:hAnsi="Times New Roman"/>
          <w:noProof/>
          <w:sz w:val="24"/>
          <w:szCs w:val="24"/>
        </w:rPr>
      </w:pPr>
      <w:r w:rsidRPr="0090383C">
        <w:rPr>
          <w:rFonts w:ascii="Times New Roman" w:eastAsia="Times New Roman" w:hAnsi="Times New Roman"/>
          <w:noProof/>
          <w:sz w:val="24"/>
          <w:szCs w:val="24"/>
        </w:rPr>
        <w:tab/>
        <w:t>Miestas yra aktyvus Sveikų miestų tinklo narys, dėl to dide</w:t>
      </w:r>
      <w:r w:rsidR="00282E3B" w:rsidRPr="0090383C">
        <w:rPr>
          <w:rFonts w:ascii="Times New Roman" w:eastAsia="Times New Roman" w:hAnsi="Times New Roman"/>
          <w:noProof/>
          <w:sz w:val="24"/>
          <w:szCs w:val="24"/>
        </w:rPr>
        <w:t>lis dėmesys bus skiriamas sveikam gyvenimo būdui</w:t>
      </w:r>
      <w:r w:rsidRPr="0090383C">
        <w:rPr>
          <w:rFonts w:ascii="Times New Roman" w:eastAsia="Times New Roman" w:hAnsi="Times New Roman"/>
          <w:noProof/>
          <w:sz w:val="24"/>
          <w:szCs w:val="24"/>
        </w:rPr>
        <w:t xml:space="preserve"> nuo pat vaikystės</w:t>
      </w:r>
      <w:r w:rsidR="00282E3B" w:rsidRPr="0090383C">
        <w:rPr>
          <w:rFonts w:ascii="Times New Roman" w:eastAsia="Times New Roman" w:hAnsi="Times New Roman"/>
          <w:noProof/>
          <w:sz w:val="24"/>
          <w:szCs w:val="24"/>
        </w:rPr>
        <w:t>, sveikam senėjimui populiarinti</w:t>
      </w:r>
      <w:r w:rsidRPr="0090383C">
        <w:rPr>
          <w:rFonts w:ascii="Times New Roman" w:eastAsia="Times New Roman" w:hAnsi="Times New Roman"/>
          <w:noProof/>
          <w:sz w:val="24"/>
          <w:szCs w:val="24"/>
        </w:rPr>
        <w:t>. Organizuojami renginiai, užsiėmimai, skatinantys gyventojus judėti.</w:t>
      </w:r>
    </w:p>
    <w:p w:rsidR="00A81C80" w:rsidRPr="0090383C" w:rsidRDefault="00A81C80" w:rsidP="00A81C80">
      <w:pPr>
        <w:pStyle w:val="Default"/>
        <w:jc w:val="both"/>
        <w:rPr>
          <w:color w:val="auto"/>
        </w:rPr>
      </w:pPr>
      <w:r w:rsidRPr="0090383C">
        <w:rPr>
          <w:color w:val="auto"/>
        </w:rPr>
        <w:tab/>
      </w:r>
      <w:r w:rsidR="00E610BD" w:rsidRPr="0090383C">
        <w:rPr>
          <w:iCs/>
          <w:color w:val="auto"/>
        </w:rPr>
        <w:t>2020–2022</w:t>
      </w:r>
      <w:r w:rsidRPr="0090383C">
        <w:rPr>
          <w:iCs/>
          <w:color w:val="auto"/>
        </w:rPr>
        <w:t xml:space="preserve"> m. dėmesys bus telkiamas į kultūros sektoriaus paslaugų kokybės, atraktyvumo ir prieinamumo įvairioms kultūros vartotojų grupėms didinimą, kultūros infrastruktūros bei kultūros paveldo modernizavimą, aktualizavimą ir pritaikymą bendruomenės poreikiams, e. kultūros paslaugų teikimą, tradicinių amatų, etnokultūros populiarinimą. Toliau bus tęsiamas kultūros ir meno iniciatyv</w:t>
      </w:r>
      <w:r w:rsidR="00443417" w:rsidRPr="0090383C">
        <w:rPr>
          <w:iCs/>
          <w:color w:val="auto"/>
        </w:rPr>
        <w:t>os</w:t>
      </w:r>
      <w:r w:rsidRPr="0090383C">
        <w:rPr>
          <w:iCs/>
          <w:color w:val="auto"/>
        </w:rPr>
        <w:t xml:space="preserve"> skatinimas.</w:t>
      </w:r>
    </w:p>
    <w:p w:rsidR="00A81C80" w:rsidRPr="0090383C" w:rsidRDefault="00E610BD" w:rsidP="00A81C80">
      <w:pPr>
        <w:pStyle w:val="Default"/>
        <w:jc w:val="both"/>
        <w:rPr>
          <w:iCs/>
          <w:color w:val="auto"/>
        </w:rPr>
      </w:pPr>
      <w:r w:rsidRPr="0090383C">
        <w:rPr>
          <w:iCs/>
          <w:color w:val="auto"/>
        </w:rPr>
        <w:tab/>
        <w:t>2020–2022</w:t>
      </w:r>
      <w:r w:rsidR="00A81C80" w:rsidRPr="0090383C">
        <w:rPr>
          <w:iCs/>
          <w:color w:val="auto"/>
        </w:rPr>
        <w:t xml:space="preserve"> m. toliau b</w:t>
      </w:r>
      <w:r w:rsidR="00282E3B" w:rsidRPr="0090383C">
        <w:rPr>
          <w:iCs/>
          <w:color w:val="auto"/>
        </w:rPr>
        <w:t>us skatinama ir remiama sporto</w:t>
      </w:r>
      <w:r w:rsidR="00A81C80" w:rsidRPr="0090383C">
        <w:rPr>
          <w:iCs/>
          <w:color w:val="auto"/>
        </w:rPr>
        <w:t xml:space="preserve"> veikla, gerinama sporto salių, lauko sporto aikštelių būklė, įrengiami lauko treniruokliai. Siekiama padidinti vaikų ir jaunimo, suaugusiųjų aktyvumą, fizinį pajėgumą, propaguoti sveiką gyvenseną. Bus organizuojami įvairaus pobūdžio ir tikslinėms grupėms skirti sporto renginiai, tarptautinės sporto varžybos. Siekiama kelti sporto renginių organizavimo kokybę, didinti masiškumą, prestižą.</w:t>
      </w:r>
    </w:p>
    <w:p w:rsidR="00A81C80" w:rsidRPr="0090383C" w:rsidRDefault="00A81C80" w:rsidP="00A81C80">
      <w:pPr>
        <w:pStyle w:val="Default"/>
        <w:jc w:val="both"/>
        <w:rPr>
          <w:iCs/>
          <w:color w:val="auto"/>
        </w:rPr>
      </w:pPr>
      <w:r w:rsidRPr="0090383C">
        <w:rPr>
          <w:iCs/>
          <w:color w:val="auto"/>
        </w:rPr>
        <w:lastRenderedPageBreak/>
        <w:tab/>
      </w:r>
      <w:r w:rsidR="00E610BD" w:rsidRPr="0090383C">
        <w:rPr>
          <w:iCs/>
          <w:color w:val="auto"/>
        </w:rPr>
        <w:t>2020–2022</w:t>
      </w:r>
      <w:r w:rsidRPr="0090383C">
        <w:rPr>
          <w:iCs/>
          <w:color w:val="auto"/>
        </w:rPr>
        <w:t xml:space="preserve"> m. bus plėtojama šiuolaikinė ir efektyvi bendruomenės poreikius tenkinanti visuomenės sveikatos priežiūros paslaugų sistema. Visuomenės sveikatos ugdymas ir stiprinimas, sveikatos sauga, ligų ir traumų prevencija yra svarbus miesto uždavinys. Bus siekiama, kad sveika gyvensena ir sveika elgsena taptų bendruomenės vertybėmis, mažėtų atskirų bendruomenės grupių atskirtis ir netolygumai, būtų užtikrinamas pirminės sveikatos priežiūros, kaip savarankiškos savivaldybės funkcijos, prieinamumas. Bus skatinamas įvairių institucijų ir įstaigų, nevyriausybinių organizacijų, bendruomenės, privataus sektoriaus bendradarbiavimas ir partnerystė, stiprinamas bendruomenės aktyvumas ir atsakomybės už savo sveikatą suvokimas, inovatyvių visuomenės sveikatos sistemos valdymo priemonių diegimas. Toliau bus įgyvendinamos prevencinės programos.</w:t>
      </w:r>
    </w:p>
    <w:p w:rsidR="00A81C80" w:rsidRPr="0090383C" w:rsidRDefault="00A81C80" w:rsidP="00A81C80">
      <w:pPr>
        <w:pStyle w:val="Default"/>
        <w:jc w:val="both"/>
        <w:rPr>
          <w:iCs/>
          <w:color w:val="auto"/>
        </w:rPr>
      </w:pPr>
      <w:r w:rsidRPr="0090383C">
        <w:rPr>
          <w:iCs/>
          <w:color w:val="auto"/>
        </w:rPr>
        <w:tab/>
      </w:r>
      <w:r w:rsidR="00F3657A" w:rsidRPr="0090383C">
        <w:rPr>
          <w:color w:val="auto"/>
        </w:rPr>
        <w:t>Toliau</w:t>
      </w:r>
      <w:r w:rsidRPr="0090383C">
        <w:rPr>
          <w:color w:val="auto"/>
        </w:rPr>
        <w:t xml:space="preserve"> bus siekiama socialinių paslaugų teikimo deinstitucionalizacijos ir bendruomenėse teikiamų paslaugų (nestacionarių socialinių paslaugų) plėtros. </w:t>
      </w:r>
      <w:r w:rsidRPr="0090383C">
        <w:rPr>
          <w:iCs/>
          <w:color w:val="auto"/>
        </w:rPr>
        <w:t>Alytuje išlieka aktualus bendruomeninių socialinių paslaugų teikimo, pagalbos į namus, dienos socialinės globos asmens namuose, integralios pagalbos paslaugų poreikis. Todėl, siekiant užtikrinti socialinių paslaugų prieinamumą įvairioms socialin</w:t>
      </w:r>
      <w:r w:rsidR="00F3657A" w:rsidRPr="0090383C">
        <w:rPr>
          <w:iCs/>
          <w:color w:val="auto"/>
        </w:rPr>
        <w:t>ių paslaugų gavėjų grupėms, 2020–2022</w:t>
      </w:r>
      <w:r w:rsidRPr="0090383C">
        <w:rPr>
          <w:iCs/>
          <w:color w:val="auto"/>
        </w:rPr>
        <w:t xml:space="preserve"> m. bus įgyvendinama bendruomenės inicijuojama veikla, vietinio užimtumo programos, didinamas socialinio būsto fondas, socialinių paslaugų prieinamumas ir kokybė. Investuojama į esamos socialinių paslaugų infrastruktūros ir paslaugų kokybės gerinimą, prevencinio darbo aktyvinimą.</w:t>
      </w:r>
    </w:p>
    <w:p w:rsidR="00A81C80" w:rsidRPr="0090383C" w:rsidRDefault="00A81C80" w:rsidP="00A81C80">
      <w:pPr>
        <w:pStyle w:val="Default"/>
        <w:jc w:val="both"/>
        <w:rPr>
          <w:iCs/>
          <w:color w:val="auto"/>
        </w:rPr>
      </w:pPr>
      <w:r w:rsidRPr="0090383C">
        <w:rPr>
          <w:iCs/>
          <w:color w:val="auto"/>
        </w:rPr>
        <w:tab/>
      </w:r>
      <w:r w:rsidR="00F3657A" w:rsidRPr="0090383C">
        <w:rPr>
          <w:iCs/>
          <w:color w:val="auto"/>
        </w:rPr>
        <w:t>2020–2022</w:t>
      </w:r>
      <w:r w:rsidRPr="0090383C">
        <w:rPr>
          <w:iCs/>
          <w:color w:val="auto"/>
        </w:rPr>
        <w:t xml:space="preserve"> m. siekiant pagerinti miesto demografinę situaciją, visų lygių institucijų ir įstaigų, organizacijų veikla ir pastangos bus telkiamos į sveiko senėjimo, sveikos gyvensenos propagavimą, sveikatos prevencinių programų įgyvendinimą, gyventojų aktyvumo, užimtumo didinimą, patrauklios ir saugios gyvenimo aplinkos kūrimą, gyventojų verslumo skatinimą ir darbo vietų kūrimą.</w:t>
      </w:r>
    </w:p>
    <w:p w:rsidR="00A81C80" w:rsidRPr="0090383C" w:rsidRDefault="00A81C80" w:rsidP="00A81C80">
      <w:pPr>
        <w:pStyle w:val="Default"/>
        <w:jc w:val="both"/>
        <w:rPr>
          <w:iCs/>
          <w:color w:val="auto"/>
        </w:rPr>
      </w:pPr>
    </w:p>
    <w:tbl>
      <w:tblPr>
        <w:tblW w:w="9923"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57"/>
        <w:gridCol w:w="8166"/>
      </w:tblGrid>
      <w:tr w:rsidR="000F0FDE" w:rsidRPr="0090383C" w:rsidTr="00CC3516">
        <w:trPr>
          <w:cantSplit/>
          <w:trHeight w:val="471"/>
        </w:trPr>
        <w:tc>
          <w:tcPr>
            <w:tcW w:w="9923"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81C80" w:rsidRPr="0090383C" w:rsidRDefault="00A81C80" w:rsidP="00CC3516">
            <w:pPr>
              <w:spacing w:before="100" w:beforeAutospacing="1" w:after="100" w:afterAutospacing="1"/>
              <w:jc w:val="both"/>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02 STRATEGINIS TIKSLAS – didinti miesto konkurencingumą, sudarant palankias sąlygas verslui</w:t>
            </w:r>
          </w:p>
        </w:tc>
      </w:tr>
      <w:tr w:rsidR="000F0FDE" w:rsidRPr="0090383C" w:rsidTr="00CC3516">
        <w:trPr>
          <w:cantSplit/>
          <w:trHeight w:val="185"/>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185" w:lineRule="atLeast"/>
              <w:jc w:val="center"/>
              <w:rPr>
                <w:rFonts w:ascii="Times New Roman" w:eastAsia="Times New Roman" w:hAnsi="Times New Roman"/>
                <w:sz w:val="24"/>
                <w:szCs w:val="24"/>
                <w:lang w:eastAsia="lt-LT"/>
              </w:rPr>
            </w:pPr>
            <w:r w:rsidRPr="0090383C">
              <w:rPr>
                <w:rFonts w:ascii="Times New Roman" w:eastAsia="Times New Roman" w:hAnsi="Times New Roman"/>
                <w:sz w:val="24"/>
                <w:szCs w:val="24"/>
                <w:lang w:eastAsia="lt-LT"/>
              </w:rPr>
              <w:t>Kodas</w:t>
            </w:r>
          </w:p>
        </w:tc>
        <w:tc>
          <w:tcPr>
            <w:tcW w:w="8166"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185" w:lineRule="atLeast"/>
              <w:jc w:val="both"/>
              <w:rPr>
                <w:rFonts w:ascii="Times New Roman" w:eastAsia="Times New Roman" w:hAnsi="Times New Roman"/>
                <w:sz w:val="24"/>
                <w:szCs w:val="24"/>
                <w:lang w:eastAsia="lt-LT"/>
              </w:rPr>
            </w:pPr>
            <w:r w:rsidRPr="0090383C">
              <w:rPr>
                <w:rFonts w:ascii="Times New Roman" w:eastAsia="Times New Roman" w:hAnsi="Times New Roman"/>
                <w:sz w:val="24"/>
                <w:szCs w:val="24"/>
                <w:lang w:eastAsia="lt-LT"/>
              </w:rPr>
              <w:t>Įgyvendinant šį strateginį tikslą, vykdomos programos:</w:t>
            </w:r>
          </w:p>
        </w:tc>
      </w:tr>
      <w:tr w:rsidR="000F0FDE" w:rsidRPr="0090383C" w:rsidTr="00CC3516">
        <w:trPr>
          <w:cantSplit/>
          <w:trHeight w:val="185"/>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56" w:lineRule="atLeast"/>
              <w:jc w:val="center"/>
              <w:rPr>
                <w:rFonts w:ascii="Times New Roman" w:eastAsia="Times New Roman" w:hAnsi="Times New Roman"/>
                <w:sz w:val="24"/>
                <w:szCs w:val="24"/>
                <w:lang w:eastAsia="lt-LT"/>
              </w:rPr>
            </w:pPr>
            <w:r w:rsidRPr="0090383C">
              <w:rPr>
                <w:rFonts w:ascii="Times New Roman" w:eastAsia="Times New Roman" w:hAnsi="Times New Roman"/>
                <w:b/>
                <w:bCs/>
                <w:sz w:val="24"/>
                <w:szCs w:val="24"/>
                <w:shd w:val="clear" w:color="auto" w:fill="FFFFFF"/>
                <w:lang w:eastAsia="lt-LT"/>
              </w:rPr>
              <w:t>27</w:t>
            </w:r>
          </w:p>
        </w:tc>
        <w:tc>
          <w:tcPr>
            <w:tcW w:w="8166"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56" w:lineRule="atLeast"/>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Ekonominės plėtros programa</w:t>
            </w:r>
          </w:p>
        </w:tc>
      </w:tr>
      <w:tr w:rsidR="000F0FDE" w:rsidRPr="0090383C" w:rsidTr="00CC3516">
        <w:trPr>
          <w:cantSplit/>
          <w:trHeight w:val="185"/>
        </w:trPr>
        <w:tc>
          <w:tcPr>
            <w:tcW w:w="1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56" w:lineRule="atLeast"/>
              <w:jc w:val="center"/>
              <w:rPr>
                <w:rFonts w:ascii="Times New Roman" w:eastAsia="Times New Roman" w:hAnsi="Times New Roman"/>
                <w:sz w:val="24"/>
                <w:szCs w:val="24"/>
                <w:lang w:eastAsia="lt-LT"/>
              </w:rPr>
            </w:pPr>
            <w:r w:rsidRPr="0090383C">
              <w:rPr>
                <w:rFonts w:ascii="Times New Roman" w:eastAsia="Times New Roman" w:hAnsi="Times New Roman"/>
                <w:b/>
                <w:bCs/>
                <w:sz w:val="24"/>
                <w:szCs w:val="24"/>
                <w:shd w:val="clear" w:color="auto" w:fill="FFFFFF"/>
                <w:lang w:eastAsia="lt-LT"/>
              </w:rPr>
              <w:t>30</w:t>
            </w:r>
          </w:p>
        </w:tc>
        <w:tc>
          <w:tcPr>
            <w:tcW w:w="8166"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56" w:lineRule="atLeast"/>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Urbanistinio planavimo programa</w:t>
            </w:r>
          </w:p>
        </w:tc>
      </w:tr>
    </w:tbl>
    <w:p w:rsidR="00A81C80" w:rsidRPr="0090383C" w:rsidRDefault="00A81C80" w:rsidP="00A81C80">
      <w:pPr>
        <w:pStyle w:val="Default"/>
        <w:jc w:val="both"/>
        <w:rPr>
          <w:iCs/>
          <w:color w:val="auto"/>
        </w:rPr>
      </w:pPr>
    </w:p>
    <w:p w:rsidR="00154297" w:rsidRPr="0090383C" w:rsidRDefault="00A81C80" w:rsidP="00154297">
      <w:pPr>
        <w:ind w:firstLine="709"/>
        <w:jc w:val="both"/>
        <w:rPr>
          <w:rFonts w:ascii="Times New Roman" w:eastAsia="Times New Roman" w:hAnsi="Times New Roman"/>
          <w:noProof/>
          <w:sz w:val="24"/>
          <w:szCs w:val="24"/>
        </w:rPr>
      </w:pPr>
      <w:r w:rsidRPr="0090383C">
        <w:rPr>
          <w:iCs/>
        </w:rPr>
        <w:tab/>
      </w:r>
      <w:r w:rsidR="00154297" w:rsidRPr="0090383C">
        <w:rPr>
          <w:rFonts w:ascii="Times New Roman" w:eastAsia="Times New Roman" w:hAnsi="Times New Roman"/>
          <w:noProof/>
          <w:sz w:val="24"/>
          <w:szCs w:val="24"/>
        </w:rPr>
        <w:t>Siekiant padidinti miesto konkurencingumą, dirbama keliomis kryptimis – investicijų pritraukimas, gyventojų verslumo skatinimas,  patrauklių kultūros ir sporto produktų kūrimas.</w:t>
      </w:r>
    </w:p>
    <w:p w:rsidR="00AE38CB" w:rsidRPr="0090383C" w:rsidRDefault="00AE38CB" w:rsidP="00154297">
      <w:pPr>
        <w:ind w:firstLine="709"/>
        <w:jc w:val="both"/>
        <w:rPr>
          <w:rFonts w:ascii="Times New Roman" w:eastAsia="Times New Roman" w:hAnsi="Times New Roman"/>
          <w:noProof/>
          <w:sz w:val="24"/>
          <w:szCs w:val="24"/>
        </w:rPr>
      </w:pPr>
      <w:r w:rsidRPr="0090383C">
        <w:rPr>
          <w:rFonts w:ascii="Times New Roman" w:eastAsia="Times New Roman" w:hAnsi="Times New Roman"/>
          <w:noProof/>
          <w:sz w:val="24"/>
          <w:szCs w:val="24"/>
        </w:rPr>
        <w:tab/>
      </w:r>
      <w:r w:rsidRPr="0090383C">
        <w:rPr>
          <w:rFonts w:ascii="Times New Roman" w:hAnsi="Times New Roman"/>
          <w:sz w:val="24"/>
          <w:szCs w:val="24"/>
        </w:rPr>
        <w:t>Norint pasiekti pažangos, būtina vystyti kryptingą bendradarbiavimą skatinant verslą ir investicijas, ypa</w:t>
      </w:r>
      <w:r w:rsidR="00CC6D4B" w:rsidRPr="0090383C">
        <w:rPr>
          <w:rFonts w:ascii="Times New Roman" w:hAnsi="Times New Roman"/>
          <w:sz w:val="24"/>
          <w:szCs w:val="24"/>
        </w:rPr>
        <w:t>č</w:t>
      </w:r>
      <w:r w:rsidRPr="0090383C">
        <w:rPr>
          <w:rFonts w:ascii="Times New Roman" w:hAnsi="Times New Roman"/>
          <w:sz w:val="24"/>
          <w:szCs w:val="24"/>
        </w:rPr>
        <w:t xml:space="preserve"> atkreipiant dėmesį į viešųjų paslaugų verslui procesų optimizavimą. Kad būtų sukurta konkurencinga verslo aplinka, bus dirbama smulkaus verslo įmonių plėtros, skatinimo, investicijų pritraukimo ir miesto žinomumo vietos ir užsienio rinkose didinimo linkme.</w:t>
      </w:r>
    </w:p>
    <w:p w:rsidR="00A81C80" w:rsidRPr="0090383C" w:rsidRDefault="00154297" w:rsidP="00A81C80">
      <w:pPr>
        <w:pStyle w:val="Default"/>
        <w:jc w:val="both"/>
        <w:rPr>
          <w:iCs/>
          <w:color w:val="auto"/>
        </w:rPr>
      </w:pPr>
      <w:r w:rsidRPr="0090383C">
        <w:rPr>
          <w:iCs/>
          <w:color w:val="auto"/>
        </w:rPr>
        <w:tab/>
      </w:r>
      <w:r w:rsidR="00A81C80" w:rsidRPr="0090383C">
        <w:rPr>
          <w:iCs/>
          <w:color w:val="auto"/>
        </w:rPr>
        <w:t>Siekiant didinti miesto ekonominį ir socialinį konkurencingumą, kurti patrauklią aplinką inves</w:t>
      </w:r>
      <w:r w:rsidR="002356F8" w:rsidRPr="0090383C">
        <w:rPr>
          <w:iCs/>
          <w:color w:val="auto"/>
        </w:rPr>
        <w:t xml:space="preserve">ticijoms ir verslų plėtrai, </w:t>
      </w:r>
      <w:r w:rsidR="00372751" w:rsidRPr="0090383C">
        <w:rPr>
          <w:iCs/>
          <w:color w:val="auto"/>
        </w:rPr>
        <w:t>20</w:t>
      </w:r>
      <w:r w:rsidR="00372751">
        <w:rPr>
          <w:iCs/>
          <w:color w:val="auto"/>
        </w:rPr>
        <w:t>20</w:t>
      </w:r>
      <w:r w:rsidR="002356F8" w:rsidRPr="0090383C">
        <w:rPr>
          <w:iCs/>
          <w:color w:val="auto"/>
        </w:rPr>
        <w:t>–202</w:t>
      </w:r>
      <w:r w:rsidR="00372751">
        <w:rPr>
          <w:iCs/>
          <w:color w:val="auto"/>
        </w:rPr>
        <w:t>2</w:t>
      </w:r>
      <w:r w:rsidR="00A81C80" w:rsidRPr="0090383C">
        <w:rPr>
          <w:iCs/>
          <w:color w:val="auto"/>
        </w:rPr>
        <w:t xml:space="preserve"> m. bus stiprinamas verslo subjektų, viešojo sektoriaus institucijų ir įstaigų, nevyriausybinių organizacijų, bendruomenių bendradarbiavimas, stebima verslo aplinka, skleidžiama informacija apie verslo galimybes ir sąlygas. </w:t>
      </w:r>
      <w:r w:rsidR="00A81C80" w:rsidRPr="0090383C">
        <w:rPr>
          <w:rFonts w:ascii="Palemonas" w:hAnsi="Palemonas"/>
          <w:color w:val="auto"/>
        </w:rPr>
        <w:t>Planuojama aktyviai dirbti su potencialiais ir esamais investuotojais, efektyviai skleisti informaciją apie investicines miesto galimybes. Aktyviais rinkodaros veiksmais tikslinėse rinkose siekiama gerinti miesto įvaizdį tarp potencialių investuotojų ir pritraukti naujų finansinių išteklių.</w:t>
      </w:r>
      <w:r w:rsidR="00A81C80" w:rsidRPr="0090383C">
        <w:rPr>
          <w:iCs/>
          <w:color w:val="auto"/>
        </w:rPr>
        <w:t xml:space="preserve"> Gyventojų ekonominiam aktyvumui didinti bus įgyvendinamos integruotos teritorijos vystymo programos priemonės. Bus siekiama įveiklinti viešąją infrastruktūrą – ją pritaikyti bendruomenės, verslo poreikiams.</w:t>
      </w:r>
    </w:p>
    <w:p w:rsidR="00154297" w:rsidRPr="0090383C" w:rsidRDefault="00AE38CB" w:rsidP="00AE38CB">
      <w:pPr>
        <w:pStyle w:val="Default"/>
        <w:jc w:val="both"/>
        <w:rPr>
          <w:iCs/>
          <w:color w:val="auto"/>
        </w:rPr>
      </w:pPr>
      <w:r w:rsidRPr="0090383C">
        <w:rPr>
          <w:iCs/>
          <w:color w:val="auto"/>
        </w:rPr>
        <w:tab/>
      </w:r>
      <w:r w:rsidRPr="0090383C">
        <w:rPr>
          <w:color w:val="auto"/>
        </w:rPr>
        <w:t>Smulkusis ir vidutinis verslas – tai lanksčiai prisitaikantis prie įvairių pokyčių, kuriantis naujas darbo vietas bei ra</w:t>
      </w:r>
      <w:r w:rsidR="00282E3B" w:rsidRPr="0090383C">
        <w:rPr>
          <w:color w:val="auto"/>
        </w:rPr>
        <w:t>cionaliai naudojantis išteklius</w:t>
      </w:r>
      <w:r w:rsidRPr="0090383C">
        <w:rPr>
          <w:color w:val="auto"/>
        </w:rPr>
        <w:t xml:space="preserve"> sektorius, </w:t>
      </w:r>
      <w:r w:rsidR="00CC6D4B" w:rsidRPr="0090383C">
        <w:rPr>
          <w:color w:val="auto"/>
        </w:rPr>
        <w:t>j</w:t>
      </w:r>
      <w:r w:rsidRPr="0090383C">
        <w:rPr>
          <w:color w:val="auto"/>
        </w:rPr>
        <w:t xml:space="preserve">is turi lemiamą įtaką ekonomikos pokyčiams. </w:t>
      </w:r>
      <w:r w:rsidR="002356F8" w:rsidRPr="0090383C">
        <w:rPr>
          <w:color w:val="auto"/>
        </w:rPr>
        <w:t xml:space="preserve">Kadangi smulkus ir vidutinis verslas yra modernios, dinamiškos ekonomikos pagrindas, mažų ir vidutinių įmonių bei savarankiškai dirbančių gyventojų plėtra didele dalimi lemia rinkos ekonomikos konkurencingumą ir augimą. Šis verslo sektorius greičiausiai pajunta rinkos paklausos ir pasiūlos pokyčius, prisitaiko prie jų, sukuria naujas darbo vietas tose </w:t>
      </w:r>
      <w:r w:rsidR="002356F8" w:rsidRPr="0090383C">
        <w:rPr>
          <w:color w:val="auto"/>
        </w:rPr>
        <w:lastRenderedPageBreak/>
        <w:t xml:space="preserve">srityse, kurių prekės ir paslaugos turi didžiausią paklausą, todėl smulkus ir vidutinis verslas yra laikomas vienu iš svarbiausių ekonomikos augimo veiksnių, turinčių esminį poveikį tiek šalies, tiek savivaldybės ūkio raidai. </w:t>
      </w:r>
      <w:r w:rsidRPr="0090383C">
        <w:rPr>
          <w:color w:val="auto"/>
        </w:rPr>
        <w:t>Smulkaus verslo įmonių plėtra yra vienas iš prioritetinių Europos Sąjungos ir Lietuvos politinių tikslų, todėl, siekiant skatinti</w:t>
      </w:r>
      <w:r w:rsidR="002819E4" w:rsidRPr="0090383C">
        <w:rPr>
          <w:color w:val="auto"/>
        </w:rPr>
        <w:t xml:space="preserve"> verslumą, </w:t>
      </w:r>
      <w:r w:rsidR="00372751" w:rsidRPr="0090383C">
        <w:rPr>
          <w:color w:val="auto"/>
        </w:rPr>
        <w:t>20</w:t>
      </w:r>
      <w:r w:rsidR="00372751">
        <w:rPr>
          <w:color w:val="auto"/>
        </w:rPr>
        <w:t>20</w:t>
      </w:r>
      <w:r w:rsidR="00372751" w:rsidRPr="0090383C">
        <w:rPr>
          <w:color w:val="auto"/>
        </w:rPr>
        <w:t xml:space="preserve"> </w:t>
      </w:r>
      <w:r w:rsidR="002819E4" w:rsidRPr="0090383C">
        <w:rPr>
          <w:color w:val="auto"/>
        </w:rPr>
        <w:t>m. yra numatoma</w:t>
      </w:r>
      <w:r w:rsidRPr="0090383C">
        <w:rPr>
          <w:color w:val="auto"/>
        </w:rPr>
        <w:t xml:space="preserve"> </w:t>
      </w:r>
      <w:r w:rsidR="00CC6D4B" w:rsidRPr="0090383C">
        <w:rPr>
          <w:color w:val="auto"/>
        </w:rPr>
        <w:t xml:space="preserve">įgyvendinti </w:t>
      </w:r>
      <w:r w:rsidRPr="0090383C">
        <w:rPr>
          <w:color w:val="auto"/>
        </w:rPr>
        <w:t>smulkaus verslo skatinimo priemon</w:t>
      </w:r>
      <w:r w:rsidR="00CC6D4B" w:rsidRPr="0090383C">
        <w:rPr>
          <w:color w:val="auto"/>
        </w:rPr>
        <w:t>es</w:t>
      </w:r>
      <w:r w:rsidRPr="0090383C">
        <w:rPr>
          <w:color w:val="auto"/>
        </w:rPr>
        <w:t xml:space="preserve">. </w:t>
      </w:r>
      <w:r w:rsidR="00154297" w:rsidRPr="0090383C">
        <w:rPr>
          <w:rFonts w:eastAsia="MS Mincho"/>
          <w:color w:val="auto"/>
          <w:lang w:eastAsia="ja-JP"/>
        </w:rPr>
        <w:t xml:space="preserve">Mieste norima išugdyti jaunųjų verslininkų kartą, todėl bus vykdomos jaunimo verslumo priemonės, siekiant sudominti mokinius, studentus ir kitus asmenis galimybėmis veikti savarankiškai, turėti savo verslą. </w:t>
      </w:r>
    </w:p>
    <w:p w:rsidR="00A81C80" w:rsidRPr="0090383C" w:rsidRDefault="00A058D9" w:rsidP="00A81C80">
      <w:pPr>
        <w:pStyle w:val="Default"/>
        <w:jc w:val="both"/>
        <w:rPr>
          <w:rFonts w:ascii="Palemonas" w:hAnsi="Palemonas"/>
          <w:color w:val="auto"/>
        </w:rPr>
      </w:pPr>
      <w:r w:rsidRPr="0090383C">
        <w:rPr>
          <w:rFonts w:ascii="Palemonas" w:hAnsi="Palemonas"/>
          <w:color w:val="auto"/>
        </w:rPr>
        <w:t xml:space="preserve">          </w:t>
      </w:r>
      <w:r w:rsidRPr="0090383C">
        <w:rPr>
          <w:rFonts w:ascii="Palemonas" w:hAnsi="Palemonas"/>
          <w:color w:val="auto"/>
        </w:rPr>
        <w:tab/>
      </w:r>
      <w:r w:rsidR="00A81C80" w:rsidRPr="0090383C">
        <w:rPr>
          <w:rFonts w:ascii="Palemonas" w:hAnsi="Palemonas"/>
          <w:color w:val="auto"/>
        </w:rPr>
        <w:t>Didelis dėmesys bus skiriamas ir harmoningai miesto teritorijų plėtrai. Atsižvelgus į Bendrojo plano sprendinius, planuojama atnaujinti svarbias miesto teritorijas, parengti specialiuosius planus.</w:t>
      </w:r>
    </w:p>
    <w:p w:rsidR="005D6C28" w:rsidRPr="0090383C" w:rsidRDefault="005D6C28" w:rsidP="00A81C80">
      <w:pPr>
        <w:pStyle w:val="Default"/>
        <w:jc w:val="both"/>
        <w:rPr>
          <w:rFonts w:ascii="Palemonas" w:hAnsi="Palemonas"/>
          <w:color w:val="auto"/>
        </w:rPr>
      </w:pPr>
    </w:p>
    <w:tbl>
      <w:tblPr>
        <w:tblW w:w="9923"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20"/>
        <w:gridCol w:w="8103"/>
      </w:tblGrid>
      <w:tr w:rsidR="000F0FDE" w:rsidRPr="0090383C" w:rsidTr="00CC3516">
        <w:trPr>
          <w:cantSplit/>
          <w:trHeight w:val="185"/>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A81C80" w:rsidRPr="0090383C" w:rsidRDefault="00A81C80" w:rsidP="00CC3516">
            <w:pPr>
              <w:spacing w:before="100" w:beforeAutospacing="1" w:after="100" w:afterAutospacing="1" w:line="185" w:lineRule="atLeast"/>
              <w:rPr>
                <w:rFonts w:ascii="Times New Roman" w:eastAsia="Times New Roman" w:hAnsi="Times New Roman"/>
                <w:sz w:val="24"/>
                <w:szCs w:val="24"/>
                <w:lang w:eastAsia="lt-LT"/>
              </w:rPr>
            </w:pPr>
            <w:r w:rsidRPr="0090383C">
              <w:rPr>
                <w:rFonts w:ascii="Times New Roman" w:eastAsia="Times New Roman" w:hAnsi="Times New Roman"/>
                <w:b/>
                <w:bCs/>
                <w:sz w:val="24"/>
                <w:szCs w:val="24"/>
                <w:shd w:val="clear" w:color="auto" w:fill="E0E0E0"/>
                <w:lang w:eastAsia="lt-LT"/>
              </w:rPr>
              <w:t>03 STRATEGINIS TIKSLAS – kurti patrauklią, švarią ir saugią miesto gyvenamąją aplinką</w:t>
            </w:r>
          </w:p>
        </w:tc>
      </w:tr>
      <w:tr w:rsidR="000F0FDE" w:rsidRPr="0090383C" w:rsidTr="00CC3516">
        <w:trPr>
          <w:cantSplit/>
          <w:trHeight w:val="57"/>
        </w:trPr>
        <w:tc>
          <w:tcPr>
            <w:tcW w:w="18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1C80" w:rsidRPr="0090383C" w:rsidRDefault="00A81C80" w:rsidP="00CC3516">
            <w:pPr>
              <w:spacing w:before="100" w:beforeAutospacing="1" w:after="100" w:afterAutospacing="1" w:line="57" w:lineRule="atLeast"/>
              <w:jc w:val="center"/>
              <w:rPr>
                <w:rFonts w:ascii="Times New Roman" w:eastAsia="Times New Roman" w:hAnsi="Times New Roman"/>
                <w:sz w:val="24"/>
                <w:szCs w:val="24"/>
                <w:lang w:eastAsia="lt-LT"/>
              </w:rPr>
            </w:pPr>
            <w:r w:rsidRPr="0090383C">
              <w:rPr>
                <w:rFonts w:ascii="Times New Roman" w:eastAsia="Times New Roman" w:hAnsi="Times New Roman"/>
                <w:sz w:val="24"/>
                <w:szCs w:val="24"/>
                <w:lang w:eastAsia="lt-LT"/>
              </w:rPr>
              <w:t>Kodas</w:t>
            </w:r>
          </w:p>
        </w:tc>
        <w:tc>
          <w:tcPr>
            <w:tcW w:w="81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57" w:lineRule="atLeast"/>
              <w:rPr>
                <w:rFonts w:ascii="Times New Roman" w:eastAsia="Times New Roman" w:hAnsi="Times New Roman"/>
                <w:sz w:val="24"/>
                <w:szCs w:val="24"/>
                <w:lang w:eastAsia="lt-LT"/>
              </w:rPr>
            </w:pPr>
            <w:r w:rsidRPr="0090383C">
              <w:rPr>
                <w:rFonts w:ascii="Times New Roman" w:eastAsia="Times New Roman" w:hAnsi="Times New Roman"/>
                <w:sz w:val="24"/>
                <w:szCs w:val="24"/>
                <w:lang w:eastAsia="lt-LT"/>
              </w:rPr>
              <w:t>Įgyvendinant šį strateginį tikslą, vykdomos programos:</w:t>
            </w:r>
          </w:p>
        </w:tc>
      </w:tr>
      <w:tr w:rsidR="000F0FDE" w:rsidRPr="0090383C" w:rsidTr="00CC3516">
        <w:trPr>
          <w:cantSplit/>
          <w:trHeight w:val="404"/>
        </w:trPr>
        <w:tc>
          <w:tcPr>
            <w:tcW w:w="1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1C80" w:rsidRPr="0090383C" w:rsidRDefault="00A81C80" w:rsidP="00CC3516">
            <w:pPr>
              <w:spacing w:before="100" w:beforeAutospacing="1" w:after="100" w:afterAutospacing="1" w:line="56" w:lineRule="atLeast"/>
              <w:jc w:val="center"/>
              <w:rPr>
                <w:rFonts w:ascii="Times New Roman" w:eastAsia="Times New Roman" w:hAnsi="Times New Roman"/>
                <w:sz w:val="24"/>
                <w:szCs w:val="24"/>
                <w:lang w:eastAsia="lt-LT"/>
              </w:rPr>
            </w:pPr>
            <w:r w:rsidRPr="0090383C">
              <w:rPr>
                <w:rFonts w:ascii="Times New Roman" w:eastAsia="Times New Roman" w:hAnsi="Times New Roman"/>
                <w:b/>
                <w:bCs/>
                <w:sz w:val="24"/>
                <w:szCs w:val="24"/>
                <w:shd w:val="clear" w:color="auto" w:fill="FFFFFF"/>
                <w:lang w:eastAsia="lt-LT"/>
              </w:rPr>
              <w:t>28</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rsidR="00A81C80" w:rsidRPr="0090383C" w:rsidRDefault="00A81C80" w:rsidP="00CC3516">
            <w:pPr>
              <w:spacing w:before="100" w:beforeAutospacing="1" w:after="100" w:afterAutospacing="1" w:line="56" w:lineRule="atLeast"/>
              <w:rPr>
                <w:rFonts w:ascii="Times New Roman" w:eastAsia="Times New Roman" w:hAnsi="Times New Roman"/>
                <w:sz w:val="24"/>
                <w:szCs w:val="24"/>
                <w:lang w:eastAsia="lt-LT"/>
              </w:rPr>
            </w:pPr>
            <w:r w:rsidRPr="0090383C">
              <w:rPr>
                <w:rFonts w:ascii="Times New Roman" w:eastAsia="Times New Roman" w:hAnsi="Times New Roman"/>
                <w:b/>
                <w:bCs/>
                <w:sz w:val="24"/>
                <w:szCs w:val="24"/>
                <w:lang w:eastAsia="lt-LT"/>
              </w:rPr>
              <w:t>Infrastruktūros priežiūros ir aplinkos kokybės gerinimo programa</w:t>
            </w:r>
          </w:p>
        </w:tc>
      </w:tr>
      <w:tr w:rsidR="000F0FDE" w:rsidRPr="0090383C" w:rsidTr="00CC3516">
        <w:trPr>
          <w:cantSplit/>
          <w:trHeight w:val="404"/>
        </w:trPr>
        <w:tc>
          <w:tcPr>
            <w:tcW w:w="1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1C80" w:rsidRPr="0090383C" w:rsidRDefault="00A81C80" w:rsidP="00CC3516">
            <w:pPr>
              <w:spacing w:before="100" w:beforeAutospacing="1" w:after="100" w:afterAutospacing="1" w:line="56" w:lineRule="atLeast"/>
              <w:jc w:val="center"/>
              <w:rPr>
                <w:rFonts w:ascii="Times New Roman" w:eastAsia="Times New Roman" w:hAnsi="Times New Roman"/>
                <w:b/>
                <w:bCs/>
                <w:sz w:val="24"/>
                <w:szCs w:val="24"/>
                <w:shd w:val="clear" w:color="auto" w:fill="FFFFFF"/>
                <w:lang w:eastAsia="lt-LT"/>
              </w:rPr>
            </w:pPr>
            <w:r w:rsidRPr="0090383C">
              <w:rPr>
                <w:rFonts w:ascii="Times New Roman" w:eastAsia="Times New Roman" w:hAnsi="Times New Roman"/>
                <w:b/>
                <w:bCs/>
                <w:sz w:val="24"/>
                <w:szCs w:val="24"/>
                <w:shd w:val="clear" w:color="auto" w:fill="FFFFFF"/>
                <w:lang w:eastAsia="lt-LT"/>
              </w:rPr>
              <w:t>29</w:t>
            </w:r>
          </w:p>
        </w:tc>
        <w:tc>
          <w:tcPr>
            <w:tcW w:w="8103" w:type="dxa"/>
            <w:tcBorders>
              <w:top w:val="nil"/>
              <w:left w:val="nil"/>
              <w:bottom w:val="single" w:sz="8" w:space="0" w:color="auto"/>
              <w:right w:val="single" w:sz="8" w:space="0" w:color="auto"/>
            </w:tcBorders>
            <w:tcMar>
              <w:top w:w="0" w:type="dxa"/>
              <w:left w:w="108" w:type="dxa"/>
              <w:bottom w:w="0" w:type="dxa"/>
              <w:right w:w="108" w:type="dxa"/>
            </w:tcMar>
          </w:tcPr>
          <w:p w:rsidR="00A81C80" w:rsidRPr="0090383C" w:rsidRDefault="00A81C80" w:rsidP="00CC3516">
            <w:pPr>
              <w:spacing w:before="100" w:beforeAutospacing="1" w:after="100" w:afterAutospacing="1" w:line="56" w:lineRule="atLeast"/>
              <w:rPr>
                <w:rFonts w:ascii="Times New Roman" w:eastAsia="Times New Roman" w:hAnsi="Times New Roman"/>
                <w:b/>
                <w:bCs/>
                <w:sz w:val="24"/>
                <w:szCs w:val="24"/>
                <w:lang w:eastAsia="lt-LT"/>
              </w:rPr>
            </w:pPr>
            <w:r w:rsidRPr="0090383C">
              <w:rPr>
                <w:rFonts w:ascii="Times New Roman" w:eastAsia="Times New Roman" w:hAnsi="Times New Roman"/>
                <w:b/>
                <w:bCs/>
                <w:sz w:val="24"/>
                <w:szCs w:val="24"/>
                <w:lang w:eastAsia="lt-LT"/>
              </w:rPr>
              <w:t>Turto valdymo ir plėtros programa</w:t>
            </w:r>
          </w:p>
        </w:tc>
      </w:tr>
    </w:tbl>
    <w:p w:rsidR="007B3281" w:rsidRPr="0090383C" w:rsidRDefault="007B3281" w:rsidP="007B3281">
      <w:pPr>
        <w:pStyle w:val="Default"/>
        <w:jc w:val="both"/>
        <w:rPr>
          <w:color w:val="auto"/>
          <w:sz w:val="23"/>
          <w:szCs w:val="23"/>
        </w:rPr>
      </w:pPr>
    </w:p>
    <w:p w:rsidR="00DD5650" w:rsidRPr="0090383C" w:rsidRDefault="00A63AC5" w:rsidP="002819E4">
      <w:pPr>
        <w:ind w:firstLine="709"/>
        <w:jc w:val="both"/>
        <w:rPr>
          <w:rFonts w:ascii="Times New Roman" w:eastAsia="Times New Roman" w:hAnsi="Times New Roman"/>
          <w:noProof/>
          <w:sz w:val="24"/>
          <w:szCs w:val="24"/>
        </w:rPr>
      </w:pPr>
      <w:r w:rsidRPr="0090383C">
        <w:rPr>
          <w:rFonts w:ascii="Times New Roman" w:eastAsia="Times New Roman" w:hAnsi="Times New Roman"/>
          <w:noProof/>
          <w:sz w:val="24"/>
          <w:szCs w:val="24"/>
        </w:rPr>
        <w:tab/>
      </w:r>
      <w:r w:rsidR="00F3657A" w:rsidRPr="0090383C">
        <w:rPr>
          <w:rFonts w:ascii="Times New Roman" w:eastAsia="Times New Roman" w:hAnsi="Times New Roman"/>
          <w:noProof/>
          <w:sz w:val="24"/>
          <w:szCs w:val="24"/>
        </w:rPr>
        <w:t xml:space="preserve">Vienas iš svarbiausių savivaldybės siekių yra užtikrinti gyventojams aukštą gyvenamosios aplinkos kokybę, diegti mieste ekologiškus sprendimus. Kadangi vienas pagrindinių aplinkos oro taršos šaltinių yra autotransporto išmetamos dujos, reikalingi sprendimai, kurie padėtų sumažinti ir reguliuoti automobilių transporto srautus taip, kad gyvenamuosiuose rajonuose taršos poveikis būtų kuo mažiau juntamas. Dėl to mieste siekiama diegti darnaus judumo principus. </w:t>
      </w:r>
      <w:r w:rsidR="00DD5650" w:rsidRPr="0090383C">
        <w:rPr>
          <w:rFonts w:ascii="Times New Roman" w:eastAsia="Times New Roman" w:hAnsi="Times New Roman"/>
          <w:noProof/>
          <w:sz w:val="24"/>
          <w:szCs w:val="24"/>
        </w:rPr>
        <w:t xml:space="preserve">2018 m., įtraukiant miesto visuomenę, parengtas ir patvirtintas Alytaus miesto darnaus judumo veiksmų planas, kuriame suformuluota Alytaus vizija darnaus judumo aspektu: </w:t>
      </w:r>
      <w:r w:rsidR="00DD5650" w:rsidRPr="0090383C">
        <w:rPr>
          <w:rFonts w:ascii="Times New Roman" w:eastAsia="Times New Roman" w:hAnsi="Times New Roman"/>
          <w:bCs/>
          <w:noProof/>
          <w:sz w:val="24"/>
          <w:szCs w:val="24"/>
        </w:rPr>
        <w:t>sveikas ir aplinkai draugiškas ir patogus miestas.</w:t>
      </w:r>
      <w:r w:rsidR="00DD5650" w:rsidRPr="0090383C">
        <w:rPr>
          <w:rFonts w:ascii="Times New Roman" w:eastAsia="Times New Roman" w:hAnsi="Times New Roman"/>
          <w:noProof/>
          <w:sz w:val="24"/>
          <w:szCs w:val="24"/>
        </w:rPr>
        <w:t xml:space="preserve"> Darnaus judumo veiksmų plane numatyta Alytaus mieste įdiegti greitojo ekologiško viešojo transporto sistemą, didinti viešojo transporto komfortą ir kokybę, skatinti intermodalumą, bevariklio transporto naudojimą, pritaikyti gatves, šaligatvius bei viešąsias erdves žmonėms su specialiaisiais poreikiais.</w:t>
      </w:r>
      <w:r w:rsidR="00F3657A" w:rsidRPr="0090383C">
        <w:rPr>
          <w:rFonts w:ascii="Times New Roman" w:eastAsia="Times New Roman" w:hAnsi="Times New Roman"/>
          <w:noProof/>
          <w:sz w:val="24"/>
          <w:szCs w:val="24"/>
        </w:rPr>
        <w:tab/>
      </w:r>
    </w:p>
    <w:p w:rsidR="00F3657A" w:rsidRPr="0090383C" w:rsidRDefault="00DD5650" w:rsidP="002819E4">
      <w:pPr>
        <w:ind w:firstLine="709"/>
        <w:jc w:val="both"/>
        <w:rPr>
          <w:rFonts w:ascii="Times New Roman" w:eastAsia="Times New Roman" w:hAnsi="Times New Roman"/>
          <w:noProof/>
          <w:sz w:val="24"/>
          <w:szCs w:val="24"/>
        </w:rPr>
      </w:pPr>
      <w:r w:rsidRPr="0090383C">
        <w:rPr>
          <w:rFonts w:ascii="Times New Roman" w:eastAsia="Times New Roman" w:hAnsi="Times New Roman"/>
          <w:noProof/>
          <w:sz w:val="24"/>
          <w:szCs w:val="24"/>
        </w:rPr>
        <w:tab/>
      </w:r>
      <w:r w:rsidR="00F3657A" w:rsidRPr="0090383C">
        <w:rPr>
          <w:rFonts w:ascii="Times New Roman" w:eastAsia="Times New Roman" w:hAnsi="Times New Roman"/>
          <w:noProof/>
          <w:sz w:val="24"/>
          <w:szCs w:val="24"/>
        </w:rPr>
        <w:t>2020–2022 m. numatomos investicijos į susisiekimo sistemos plėtrą. Susisiekimo sistemos plėtra yra susijusi su susisiekimo infrastruktūros techninių parametrų gerinimu, trūkstamų jungčių tiesimu ir pralaidumo didinimu, eismo saugos užtikrinimu, aplinkosaugos, darnaus judumo priemonių diegimu.</w:t>
      </w:r>
    </w:p>
    <w:p w:rsidR="00A63AC5" w:rsidRPr="0090383C" w:rsidRDefault="00A63AC5" w:rsidP="002819E4">
      <w:pPr>
        <w:autoSpaceDE w:val="0"/>
        <w:autoSpaceDN w:val="0"/>
        <w:adjustRightInd w:val="0"/>
        <w:jc w:val="both"/>
        <w:rPr>
          <w:rFonts w:ascii="Times New Roman" w:eastAsiaTheme="minorHAnsi" w:hAnsi="Times New Roman"/>
          <w:sz w:val="24"/>
          <w:szCs w:val="24"/>
        </w:rPr>
      </w:pPr>
      <w:r w:rsidRPr="0090383C">
        <w:rPr>
          <w:rFonts w:ascii="Times New Roman" w:eastAsia="Times New Roman" w:hAnsi="Times New Roman"/>
          <w:noProof/>
          <w:sz w:val="24"/>
          <w:szCs w:val="24"/>
        </w:rPr>
        <w:tab/>
      </w:r>
      <w:r w:rsidRPr="0090383C">
        <w:rPr>
          <w:rFonts w:ascii="Times New Roman" w:eastAsiaTheme="minorHAnsi" w:hAnsi="Times New Roman"/>
          <w:sz w:val="24"/>
          <w:szCs w:val="24"/>
        </w:rPr>
        <w:t>D</w:t>
      </w:r>
      <w:r w:rsidRPr="0090383C">
        <w:rPr>
          <w:rFonts w:ascii="TimesNewRoman" w:eastAsia="TimesNewRoman" w:hAnsi="Times New Roman" w:cs="TimesNewRoman"/>
          <w:sz w:val="24"/>
          <w:szCs w:val="24"/>
        </w:rPr>
        <w:t>ė</w:t>
      </w:r>
      <w:r w:rsidRPr="0090383C">
        <w:rPr>
          <w:rFonts w:ascii="Times New Roman" w:eastAsiaTheme="minorHAnsi" w:hAnsi="Times New Roman"/>
          <w:sz w:val="24"/>
          <w:szCs w:val="24"/>
        </w:rPr>
        <w:t>l savo kompaktiškos strukt</w:t>
      </w:r>
      <w:r w:rsidRPr="0090383C">
        <w:rPr>
          <w:rFonts w:ascii="TimesNewRoman" w:eastAsia="TimesNewRoman" w:hAnsi="Times New Roman" w:cs="TimesNewRoman"/>
          <w:sz w:val="24"/>
          <w:szCs w:val="24"/>
        </w:rPr>
        <w:t>ū</w:t>
      </w:r>
      <w:r w:rsidRPr="0090383C">
        <w:rPr>
          <w:rFonts w:ascii="Times New Roman" w:eastAsiaTheme="minorHAnsi" w:hAnsi="Times New Roman"/>
          <w:sz w:val="24"/>
          <w:szCs w:val="24"/>
        </w:rPr>
        <w:t>ros ir dydžio, traukos objekt</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išsid</w:t>
      </w:r>
      <w:r w:rsidRPr="0090383C">
        <w:rPr>
          <w:rFonts w:ascii="TimesNewRoman" w:eastAsia="TimesNewRoman" w:hAnsi="Times New Roman" w:cs="TimesNewRoman"/>
          <w:sz w:val="24"/>
          <w:szCs w:val="24"/>
        </w:rPr>
        <w:t>ė</w:t>
      </w:r>
      <w:r w:rsidRPr="0090383C">
        <w:rPr>
          <w:rFonts w:ascii="Times New Roman" w:eastAsiaTheme="minorHAnsi" w:hAnsi="Times New Roman"/>
          <w:sz w:val="24"/>
          <w:szCs w:val="24"/>
        </w:rPr>
        <w:t>stymo bei turtingos</w:t>
      </w:r>
    </w:p>
    <w:p w:rsidR="00A63AC5" w:rsidRPr="0090383C" w:rsidRDefault="00A63AC5" w:rsidP="002819E4">
      <w:pPr>
        <w:autoSpaceDE w:val="0"/>
        <w:autoSpaceDN w:val="0"/>
        <w:adjustRightInd w:val="0"/>
        <w:jc w:val="both"/>
        <w:rPr>
          <w:rFonts w:ascii="Times New Roman" w:eastAsiaTheme="minorHAnsi" w:hAnsi="Times New Roman"/>
          <w:sz w:val="24"/>
          <w:szCs w:val="24"/>
        </w:rPr>
      </w:pPr>
      <w:r w:rsidRPr="0090383C">
        <w:rPr>
          <w:rFonts w:ascii="Times New Roman" w:eastAsiaTheme="minorHAnsi" w:hAnsi="Times New Roman"/>
          <w:sz w:val="24"/>
          <w:szCs w:val="24"/>
        </w:rPr>
        <w:t>gamtin</w:t>
      </w:r>
      <w:r w:rsidRPr="0090383C">
        <w:rPr>
          <w:rFonts w:ascii="TimesNewRoman" w:eastAsia="TimesNewRoman" w:hAnsi="Times New Roman" w:cs="TimesNewRoman"/>
          <w:sz w:val="24"/>
          <w:szCs w:val="24"/>
        </w:rPr>
        <w:t>ė</w:t>
      </w:r>
      <w:r w:rsidRPr="0090383C">
        <w:rPr>
          <w:rFonts w:ascii="Times New Roman" w:eastAsiaTheme="minorHAnsi" w:hAnsi="Times New Roman"/>
          <w:sz w:val="24"/>
          <w:szCs w:val="24"/>
        </w:rPr>
        <w:t>s aplinkos Alytaus miestas yra patogus susisiekti p</w:t>
      </w:r>
      <w:r w:rsidRPr="0090383C">
        <w:rPr>
          <w:rFonts w:ascii="TimesNewRoman" w:eastAsia="TimesNewRoman" w:hAnsi="Times New Roman" w:cs="TimesNewRoman"/>
          <w:sz w:val="24"/>
          <w:szCs w:val="24"/>
        </w:rPr>
        <w:t>ė</w:t>
      </w:r>
      <w:r w:rsidRPr="0090383C">
        <w:rPr>
          <w:rFonts w:ascii="Times New Roman" w:eastAsiaTheme="minorHAnsi" w:hAnsi="Times New Roman"/>
          <w:sz w:val="24"/>
          <w:szCs w:val="24"/>
        </w:rPr>
        <w:t>s</w:t>
      </w:r>
      <w:r w:rsidRPr="0090383C">
        <w:rPr>
          <w:rFonts w:ascii="TimesNewRoman" w:eastAsia="TimesNewRoman" w:hAnsi="Times New Roman" w:cs="TimesNewRoman"/>
          <w:sz w:val="24"/>
          <w:szCs w:val="24"/>
        </w:rPr>
        <w:t>č</w:t>
      </w:r>
      <w:r w:rsidRPr="0090383C">
        <w:rPr>
          <w:rFonts w:ascii="Times New Roman" w:eastAsiaTheme="minorHAnsi" w:hAnsi="Times New Roman"/>
          <w:sz w:val="24"/>
          <w:szCs w:val="24"/>
        </w:rPr>
        <w:t>iomis ir dvira</w:t>
      </w:r>
      <w:r w:rsidRPr="0090383C">
        <w:rPr>
          <w:rFonts w:ascii="TimesNewRoman" w:eastAsia="TimesNewRoman" w:hAnsi="Times New Roman" w:cs="TimesNewRoman"/>
          <w:sz w:val="24"/>
          <w:szCs w:val="24"/>
        </w:rPr>
        <w:t>č</w:t>
      </w:r>
      <w:r w:rsidRPr="0090383C">
        <w:rPr>
          <w:rFonts w:ascii="Times New Roman" w:eastAsiaTheme="minorHAnsi" w:hAnsi="Times New Roman"/>
          <w:sz w:val="24"/>
          <w:szCs w:val="24"/>
        </w:rPr>
        <w:t>iais, ta</w:t>
      </w:r>
      <w:r w:rsidRPr="0090383C">
        <w:rPr>
          <w:rFonts w:ascii="TimesNewRoman" w:eastAsia="TimesNewRoman" w:hAnsi="Times New Roman" w:cs="TimesNewRoman"/>
          <w:sz w:val="24"/>
          <w:szCs w:val="24"/>
        </w:rPr>
        <w:t>č</w:t>
      </w:r>
      <w:r w:rsidRPr="0090383C">
        <w:rPr>
          <w:rFonts w:ascii="Times New Roman" w:eastAsiaTheme="minorHAnsi" w:hAnsi="Times New Roman"/>
          <w:sz w:val="24"/>
          <w:szCs w:val="24"/>
        </w:rPr>
        <w:t>iau miestas neturi rišlios dvira</w:t>
      </w:r>
      <w:r w:rsidRPr="0090383C">
        <w:rPr>
          <w:rFonts w:ascii="TimesNewRoman" w:eastAsia="TimesNewRoman" w:hAnsi="Times New Roman" w:cs="TimesNewRoman"/>
          <w:sz w:val="24"/>
          <w:szCs w:val="24"/>
        </w:rPr>
        <w:t>č</w:t>
      </w:r>
      <w:r w:rsidRPr="0090383C">
        <w:rPr>
          <w:rFonts w:ascii="Times New Roman" w:eastAsiaTheme="minorHAnsi" w:hAnsi="Times New Roman"/>
          <w:sz w:val="24"/>
          <w:szCs w:val="24"/>
        </w:rPr>
        <w:t>i</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tak</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sistemos, n</w:t>
      </w:r>
      <w:r w:rsidRPr="0090383C">
        <w:rPr>
          <w:rFonts w:ascii="TimesNewRoman" w:eastAsia="TimesNewRoman" w:hAnsi="Times New Roman" w:cs="TimesNewRoman"/>
          <w:sz w:val="24"/>
          <w:szCs w:val="24"/>
        </w:rPr>
        <w:t>ė</w:t>
      </w:r>
      <w:r w:rsidRPr="0090383C">
        <w:rPr>
          <w:rFonts w:ascii="Times New Roman" w:eastAsiaTheme="minorHAnsi" w:hAnsi="Times New Roman"/>
          <w:sz w:val="24"/>
          <w:szCs w:val="24"/>
        </w:rPr>
        <w:t>ra nenutr</w:t>
      </w:r>
      <w:r w:rsidRPr="0090383C">
        <w:rPr>
          <w:rFonts w:ascii="TimesNewRoman" w:eastAsia="TimesNewRoman" w:hAnsi="Times New Roman" w:cs="TimesNewRoman"/>
          <w:sz w:val="24"/>
          <w:szCs w:val="24"/>
        </w:rPr>
        <w:t>ū</w:t>
      </w:r>
      <w:r w:rsidRPr="0090383C">
        <w:rPr>
          <w:rFonts w:ascii="Times New Roman" w:eastAsiaTheme="minorHAnsi" w:hAnsi="Times New Roman"/>
          <w:sz w:val="24"/>
          <w:szCs w:val="24"/>
        </w:rPr>
        <w:t>kstamo dvira</w:t>
      </w:r>
      <w:r w:rsidRPr="0090383C">
        <w:rPr>
          <w:rFonts w:ascii="TimesNewRoman" w:eastAsia="TimesNewRoman" w:hAnsi="Times New Roman" w:cs="TimesNewRoman"/>
          <w:sz w:val="24"/>
          <w:szCs w:val="24"/>
        </w:rPr>
        <w:t>č</w:t>
      </w:r>
      <w:r w:rsidRPr="0090383C">
        <w:rPr>
          <w:rFonts w:ascii="Times New Roman" w:eastAsiaTheme="minorHAnsi" w:hAnsi="Times New Roman"/>
          <w:sz w:val="24"/>
          <w:szCs w:val="24"/>
        </w:rPr>
        <w:t>i</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tak</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tinklo, jungian</w:t>
      </w:r>
      <w:r w:rsidRPr="0090383C">
        <w:rPr>
          <w:rFonts w:ascii="TimesNewRoman" w:eastAsia="TimesNewRoman" w:hAnsi="Times New Roman" w:cs="TimesNewRoman"/>
          <w:sz w:val="24"/>
          <w:szCs w:val="24"/>
        </w:rPr>
        <w:t>č</w:t>
      </w:r>
      <w:r w:rsidRPr="0090383C">
        <w:rPr>
          <w:rFonts w:ascii="Times New Roman" w:eastAsiaTheme="minorHAnsi" w:hAnsi="Times New Roman"/>
          <w:sz w:val="24"/>
          <w:szCs w:val="24"/>
        </w:rPr>
        <w:t>io miesto rekreacinius želdynus, gyvenam</w:t>
      </w:r>
      <w:r w:rsidR="00282E3B" w:rsidRPr="0090383C">
        <w:rPr>
          <w:rFonts w:ascii="Times New Roman" w:eastAsiaTheme="minorHAnsi" w:hAnsi="Times New Roman"/>
          <w:sz w:val="24"/>
          <w:szCs w:val="24"/>
        </w:rPr>
        <w:t>ąsi</w:t>
      </w:r>
      <w:r w:rsidRPr="0090383C">
        <w:rPr>
          <w:rFonts w:ascii="Times New Roman" w:eastAsiaTheme="minorHAnsi" w:hAnsi="Times New Roman"/>
          <w:sz w:val="24"/>
          <w:szCs w:val="24"/>
        </w:rPr>
        <w:t xml:space="preserve">as teritorijas ir poilsio bei aptarnavimo objektus. Alytaus mieste yra apie </w:t>
      </w:r>
      <w:r w:rsidR="00A44D55" w:rsidRPr="0090383C">
        <w:rPr>
          <w:rFonts w:ascii="Times New Roman" w:eastAsiaTheme="minorHAnsi" w:hAnsi="Times New Roman"/>
          <w:sz w:val="24"/>
          <w:szCs w:val="24"/>
        </w:rPr>
        <w:t>31,0</w:t>
      </w:r>
      <w:r w:rsidRPr="0090383C">
        <w:rPr>
          <w:rFonts w:ascii="Times New Roman" w:eastAsiaTheme="minorHAnsi" w:hAnsi="Times New Roman"/>
          <w:sz w:val="24"/>
          <w:szCs w:val="24"/>
        </w:rPr>
        <w:t xml:space="preserve"> km ilgio p</w:t>
      </w:r>
      <w:r w:rsidRPr="0090383C">
        <w:rPr>
          <w:rFonts w:ascii="Times New Roman" w:eastAsia="TimesNewRoman" w:hAnsi="Times New Roman"/>
          <w:sz w:val="24"/>
          <w:szCs w:val="24"/>
        </w:rPr>
        <w:t>ė</w:t>
      </w:r>
      <w:r w:rsidRPr="0090383C">
        <w:rPr>
          <w:rFonts w:ascii="Times New Roman" w:eastAsiaTheme="minorHAnsi" w:hAnsi="Times New Roman"/>
          <w:sz w:val="24"/>
          <w:szCs w:val="24"/>
        </w:rPr>
        <w:t>s</w:t>
      </w:r>
      <w:r w:rsidRPr="0090383C">
        <w:rPr>
          <w:rFonts w:ascii="Times New Roman" w:eastAsia="TimesNewRoman" w:hAnsi="Times New Roman"/>
          <w:sz w:val="24"/>
          <w:szCs w:val="24"/>
        </w:rPr>
        <w:t>č</w:t>
      </w:r>
      <w:r w:rsidRPr="0090383C">
        <w:rPr>
          <w:rFonts w:ascii="Times New Roman" w:eastAsiaTheme="minorHAnsi" w:hAnsi="Times New Roman"/>
          <w:sz w:val="24"/>
          <w:szCs w:val="24"/>
        </w:rPr>
        <w:t>i</w:t>
      </w:r>
      <w:r w:rsidRPr="0090383C">
        <w:rPr>
          <w:rFonts w:ascii="Times New Roman" w:eastAsia="TimesNewRoman" w:hAnsi="Times New Roman"/>
          <w:sz w:val="24"/>
          <w:szCs w:val="24"/>
        </w:rPr>
        <w:t>ų</w:t>
      </w:r>
      <w:r w:rsidRPr="0090383C">
        <w:rPr>
          <w:rFonts w:ascii="Times New Roman" w:eastAsiaTheme="minorHAnsi" w:hAnsi="Times New Roman"/>
          <w:sz w:val="24"/>
          <w:szCs w:val="24"/>
        </w:rPr>
        <w:t>j</w:t>
      </w:r>
      <w:r w:rsidRPr="0090383C">
        <w:rPr>
          <w:rFonts w:ascii="Times New Roman" w:eastAsia="TimesNewRoman" w:hAnsi="Times New Roman"/>
          <w:sz w:val="24"/>
          <w:szCs w:val="24"/>
        </w:rPr>
        <w:t>ų</w:t>
      </w:r>
      <w:r w:rsidR="00E9140E" w:rsidRPr="0090383C">
        <w:rPr>
          <w:rFonts w:ascii="Times New Roman" w:eastAsia="TimesNewRoman" w:hAnsi="Times New Roman"/>
          <w:sz w:val="24"/>
          <w:szCs w:val="24"/>
        </w:rPr>
        <w:t xml:space="preserve"> ir</w:t>
      </w:r>
      <w:r w:rsidRPr="0090383C">
        <w:rPr>
          <w:rFonts w:ascii="Times New Roman" w:eastAsia="TimesNewRoman" w:hAnsi="Times New Roman"/>
          <w:sz w:val="24"/>
          <w:szCs w:val="24"/>
        </w:rPr>
        <w:t xml:space="preserve"> </w:t>
      </w:r>
      <w:r w:rsidRPr="0090383C">
        <w:rPr>
          <w:rFonts w:ascii="Times New Roman" w:eastAsiaTheme="minorHAnsi" w:hAnsi="Times New Roman"/>
          <w:sz w:val="24"/>
          <w:szCs w:val="24"/>
        </w:rPr>
        <w:t>dvira</w:t>
      </w:r>
      <w:r w:rsidRPr="0090383C">
        <w:rPr>
          <w:rFonts w:ascii="Times New Roman" w:eastAsia="TimesNewRoman" w:hAnsi="Times New Roman"/>
          <w:sz w:val="24"/>
          <w:szCs w:val="24"/>
        </w:rPr>
        <w:t>č</w:t>
      </w:r>
      <w:r w:rsidRPr="0090383C">
        <w:rPr>
          <w:rFonts w:ascii="Times New Roman" w:eastAsiaTheme="minorHAnsi" w:hAnsi="Times New Roman"/>
          <w:sz w:val="24"/>
          <w:szCs w:val="24"/>
        </w:rPr>
        <w:t>i</w:t>
      </w:r>
      <w:r w:rsidR="005D6C28" w:rsidRPr="0090383C">
        <w:rPr>
          <w:rFonts w:ascii="Times New Roman" w:eastAsia="TimesNewRoman" w:hAnsi="Times New Roman"/>
          <w:sz w:val="24"/>
          <w:szCs w:val="24"/>
        </w:rPr>
        <w:t xml:space="preserve">ų </w:t>
      </w:r>
      <w:r w:rsidRPr="0090383C">
        <w:rPr>
          <w:rFonts w:ascii="Times New Roman" w:eastAsiaTheme="minorHAnsi" w:hAnsi="Times New Roman"/>
          <w:sz w:val="24"/>
          <w:szCs w:val="24"/>
        </w:rPr>
        <w:t>tak</w:t>
      </w:r>
      <w:r w:rsidRPr="0090383C">
        <w:rPr>
          <w:rFonts w:ascii="Times New Roman" w:eastAsia="TimesNewRoman" w:hAnsi="Times New Roman"/>
          <w:sz w:val="24"/>
          <w:szCs w:val="24"/>
        </w:rPr>
        <w:t>ų</w:t>
      </w:r>
      <w:r w:rsidRPr="0090383C">
        <w:rPr>
          <w:rFonts w:ascii="Times New Roman" w:eastAsiaTheme="minorHAnsi" w:hAnsi="Times New Roman"/>
          <w:sz w:val="24"/>
          <w:szCs w:val="24"/>
        </w:rPr>
        <w:t xml:space="preserve">, </w:t>
      </w:r>
      <w:r w:rsidR="00E9140E" w:rsidRPr="0090383C">
        <w:rPr>
          <w:rFonts w:ascii="Times New Roman" w:eastAsiaTheme="minorHAnsi" w:hAnsi="Times New Roman"/>
          <w:sz w:val="24"/>
          <w:szCs w:val="24"/>
        </w:rPr>
        <w:t>j</w:t>
      </w:r>
      <w:r w:rsidR="005D6C28" w:rsidRPr="0090383C">
        <w:rPr>
          <w:rFonts w:ascii="Times New Roman" w:eastAsiaTheme="minorHAnsi" w:hAnsi="Times New Roman"/>
          <w:sz w:val="24"/>
          <w:szCs w:val="24"/>
        </w:rPr>
        <w:t>i</w:t>
      </w:r>
      <w:r w:rsidRPr="0090383C">
        <w:rPr>
          <w:rFonts w:ascii="Times New Roman" w:eastAsiaTheme="minorHAnsi" w:hAnsi="Times New Roman"/>
          <w:sz w:val="24"/>
          <w:szCs w:val="24"/>
        </w:rPr>
        <w:t>e jungia miesto bendrojo naudojimo teritorijas ir želdynus, miesto teritorij</w:t>
      </w:r>
      <w:r w:rsidRPr="0090383C">
        <w:rPr>
          <w:rFonts w:ascii="TimesNewRoman" w:eastAsia="TimesNewRoman" w:hAnsi="Times New Roman" w:cs="TimesNewRoman"/>
          <w:sz w:val="24"/>
          <w:szCs w:val="24"/>
        </w:rPr>
        <w:t>ą</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su priemies</w:t>
      </w:r>
      <w:r w:rsidRPr="0090383C">
        <w:rPr>
          <w:rFonts w:ascii="TimesNewRoman" w:eastAsia="TimesNewRoman" w:hAnsi="Times New Roman" w:cs="TimesNewRoman"/>
          <w:sz w:val="24"/>
          <w:szCs w:val="24"/>
        </w:rPr>
        <w:t>č</w:t>
      </w:r>
      <w:r w:rsidRPr="0090383C">
        <w:rPr>
          <w:rFonts w:ascii="Times New Roman" w:eastAsiaTheme="minorHAnsi" w:hAnsi="Times New Roman"/>
          <w:sz w:val="24"/>
          <w:szCs w:val="24"/>
        </w:rPr>
        <w:t>iu. Pl</w:t>
      </w:r>
      <w:r w:rsidR="00E9140E" w:rsidRPr="0090383C">
        <w:rPr>
          <w:rFonts w:ascii="Times New Roman" w:eastAsiaTheme="minorHAnsi" w:hAnsi="Times New Roman"/>
          <w:sz w:val="24"/>
          <w:szCs w:val="24"/>
        </w:rPr>
        <w:t>ėsdama</w:t>
      </w:r>
      <w:r w:rsidRPr="0090383C">
        <w:rPr>
          <w:rFonts w:ascii="Times New Roman" w:eastAsiaTheme="minorHAnsi" w:hAnsi="Times New Roman"/>
          <w:sz w:val="24"/>
          <w:szCs w:val="24"/>
        </w:rPr>
        <w:t xml:space="preserve"> dvira</w:t>
      </w:r>
      <w:r w:rsidRPr="0090383C">
        <w:rPr>
          <w:rFonts w:ascii="TimesNewRoman" w:eastAsia="TimesNewRoman" w:hAnsi="Times New Roman" w:cs="TimesNewRoman"/>
          <w:sz w:val="24"/>
          <w:szCs w:val="24"/>
        </w:rPr>
        <w:t>č</w:t>
      </w:r>
      <w:r w:rsidRPr="0090383C">
        <w:rPr>
          <w:rFonts w:ascii="Times New Roman" w:eastAsiaTheme="minorHAnsi" w:hAnsi="Times New Roman"/>
          <w:sz w:val="24"/>
          <w:szCs w:val="24"/>
        </w:rPr>
        <w:t>i</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tak</w:t>
      </w:r>
      <w:r w:rsidRPr="0090383C">
        <w:rPr>
          <w:rFonts w:ascii="TimesNewRoman" w:eastAsia="TimesNewRoman" w:hAnsi="Times New Roman" w:cs="TimesNewRoman"/>
          <w:sz w:val="24"/>
          <w:szCs w:val="24"/>
        </w:rPr>
        <w:t>ų</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tinkl</w:t>
      </w:r>
      <w:r w:rsidRPr="0090383C">
        <w:rPr>
          <w:rFonts w:ascii="TimesNewRoman" w:eastAsia="TimesNewRoman" w:hAnsi="Times New Roman" w:cs="TimesNewRoman"/>
          <w:sz w:val="24"/>
          <w:szCs w:val="24"/>
        </w:rPr>
        <w:t>ą</w:t>
      </w:r>
      <w:r w:rsidRPr="0090383C">
        <w:rPr>
          <w:rFonts w:ascii="Times New Roman" w:eastAsiaTheme="minorHAnsi" w:hAnsi="Times New Roman"/>
          <w:sz w:val="24"/>
          <w:szCs w:val="24"/>
        </w:rPr>
        <w:t>, savivaldyb</w:t>
      </w:r>
      <w:r w:rsidRPr="0090383C">
        <w:rPr>
          <w:rFonts w:ascii="TimesNewRoman" w:eastAsia="TimesNewRoman" w:hAnsi="Times New Roman" w:cs="TimesNewRoman"/>
          <w:sz w:val="24"/>
          <w:szCs w:val="24"/>
        </w:rPr>
        <w:t>ė</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siekia skatinti žmones dvira</w:t>
      </w:r>
      <w:r w:rsidRPr="0090383C">
        <w:rPr>
          <w:rFonts w:ascii="TimesNewRoman" w:eastAsia="TimesNewRoman" w:hAnsi="Times New Roman" w:cs="TimesNewRoman"/>
          <w:sz w:val="24"/>
          <w:szCs w:val="24"/>
        </w:rPr>
        <w:t>č</w:t>
      </w:r>
      <w:r w:rsidRPr="0090383C">
        <w:rPr>
          <w:rFonts w:ascii="Times New Roman" w:eastAsiaTheme="minorHAnsi" w:hAnsi="Times New Roman"/>
          <w:sz w:val="24"/>
          <w:szCs w:val="24"/>
        </w:rPr>
        <w:t>ius naudoti ir kaip kasdienin</w:t>
      </w:r>
      <w:r w:rsidRPr="0090383C">
        <w:rPr>
          <w:rFonts w:ascii="TimesNewRoman" w:eastAsia="TimesNewRoman" w:hAnsi="Times New Roman" w:cs="TimesNewRoman"/>
          <w:sz w:val="24"/>
          <w:szCs w:val="24"/>
        </w:rPr>
        <w:t>ę</w:t>
      </w:r>
      <w:r w:rsidRPr="0090383C">
        <w:rPr>
          <w:rFonts w:ascii="TimesNewRoman" w:eastAsia="TimesNewRoman" w:hAnsi="Times New Roman" w:cs="TimesNewRoman"/>
          <w:sz w:val="24"/>
          <w:szCs w:val="24"/>
        </w:rPr>
        <w:t xml:space="preserve"> </w:t>
      </w:r>
      <w:r w:rsidRPr="0090383C">
        <w:rPr>
          <w:rFonts w:ascii="Times New Roman" w:eastAsiaTheme="minorHAnsi" w:hAnsi="Times New Roman"/>
          <w:sz w:val="24"/>
          <w:szCs w:val="24"/>
        </w:rPr>
        <w:t>susisiekimo priemon</w:t>
      </w:r>
      <w:r w:rsidRPr="0090383C">
        <w:rPr>
          <w:rFonts w:ascii="TimesNewRoman" w:eastAsia="TimesNewRoman" w:hAnsi="Times New Roman" w:cs="TimesNewRoman"/>
          <w:sz w:val="24"/>
          <w:szCs w:val="24"/>
        </w:rPr>
        <w:t>ę</w:t>
      </w:r>
      <w:r w:rsidRPr="0090383C">
        <w:rPr>
          <w:rFonts w:ascii="Times New Roman" w:eastAsiaTheme="minorHAnsi" w:hAnsi="Times New Roman"/>
          <w:sz w:val="24"/>
          <w:szCs w:val="24"/>
        </w:rPr>
        <w:t>, nes dviratis yra ekologiška ir patogi transporto priemon</w:t>
      </w:r>
      <w:r w:rsidRPr="0090383C">
        <w:rPr>
          <w:rFonts w:ascii="TimesNewRoman" w:eastAsia="TimesNewRoman" w:hAnsi="Times New Roman" w:cs="TimesNewRoman"/>
          <w:sz w:val="24"/>
          <w:szCs w:val="24"/>
        </w:rPr>
        <w:t>ė</w:t>
      </w:r>
      <w:r w:rsidRPr="0090383C">
        <w:rPr>
          <w:rFonts w:ascii="Times New Roman" w:eastAsiaTheme="minorHAnsi" w:hAnsi="Times New Roman"/>
          <w:sz w:val="24"/>
          <w:szCs w:val="24"/>
        </w:rPr>
        <w:t>.</w:t>
      </w:r>
    </w:p>
    <w:p w:rsidR="00666531" w:rsidRPr="0090383C" w:rsidRDefault="007B3281" w:rsidP="00A81C80">
      <w:pPr>
        <w:pStyle w:val="Default"/>
        <w:jc w:val="both"/>
        <w:rPr>
          <w:iCs/>
          <w:color w:val="auto"/>
        </w:rPr>
      </w:pPr>
      <w:r w:rsidRPr="0090383C">
        <w:rPr>
          <w:iCs/>
          <w:color w:val="auto"/>
        </w:rPr>
        <w:tab/>
      </w:r>
      <w:r w:rsidR="00717163" w:rsidRPr="0090383C">
        <w:rPr>
          <w:iCs/>
          <w:color w:val="auto"/>
        </w:rPr>
        <w:t xml:space="preserve">Bus teikiama pirmenybė </w:t>
      </w:r>
      <w:r w:rsidR="00A81C80" w:rsidRPr="0090383C">
        <w:rPr>
          <w:iCs/>
          <w:color w:val="auto"/>
        </w:rPr>
        <w:t>miesto gatv</w:t>
      </w:r>
      <w:r w:rsidR="00717163" w:rsidRPr="0090383C">
        <w:rPr>
          <w:iCs/>
          <w:color w:val="auto"/>
        </w:rPr>
        <w:t>ėms</w:t>
      </w:r>
      <w:r w:rsidR="00A81C80" w:rsidRPr="0090383C">
        <w:rPr>
          <w:iCs/>
          <w:color w:val="auto"/>
        </w:rPr>
        <w:t xml:space="preserve"> įreng</w:t>
      </w:r>
      <w:r w:rsidR="00717163" w:rsidRPr="0090383C">
        <w:rPr>
          <w:iCs/>
          <w:color w:val="auto"/>
        </w:rPr>
        <w:t>t</w:t>
      </w:r>
      <w:r w:rsidR="00A81C80" w:rsidRPr="0090383C">
        <w:rPr>
          <w:iCs/>
          <w:color w:val="auto"/>
        </w:rPr>
        <w:t>i, asfalt</w:t>
      </w:r>
      <w:r w:rsidR="00717163" w:rsidRPr="0090383C">
        <w:rPr>
          <w:iCs/>
          <w:color w:val="auto"/>
        </w:rPr>
        <w:t>uot</w:t>
      </w:r>
      <w:r w:rsidR="00A81C80" w:rsidRPr="0090383C">
        <w:rPr>
          <w:iCs/>
          <w:color w:val="auto"/>
        </w:rPr>
        <w:t>i, šaligatvi</w:t>
      </w:r>
      <w:r w:rsidR="00717163" w:rsidRPr="0090383C">
        <w:rPr>
          <w:iCs/>
          <w:color w:val="auto"/>
        </w:rPr>
        <w:t>ų</w:t>
      </w:r>
      <w:r w:rsidR="00A81C80" w:rsidRPr="0090383C">
        <w:rPr>
          <w:iCs/>
          <w:color w:val="auto"/>
        </w:rPr>
        <w:t xml:space="preserve"> ir perėj</w:t>
      </w:r>
      <w:r w:rsidR="00717163" w:rsidRPr="0090383C">
        <w:rPr>
          <w:iCs/>
          <w:color w:val="auto"/>
        </w:rPr>
        <w:t>ų</w:t>
      </w:r>
      <w:r w:rsidR="00A81C80" w:rsidRPr="0090383C">
        <w:rPr>
          <w:iCs/>
          <w:color w:val="auto"/>
        </w:rPr>
        <w:t xml:space="preserve"> apšvietim</w:t>
      </w:r>
      <w:r w:rsidR="00717163" w:rsidRPr="0090383C">
        <w:rPr>
          <w:iCs/>
          <w:color w:val="auto"/>
        </w:rPr>
        <w:t>ui</w:t>
      </w:r>
      <w:r w:rsidR="00A81C80" w:rsidRPr="0090383C">
        <w:rPr>
          <w:iCs/>
          <w:color w:val="auto"/>
        </w:rPr>
        <w:t xml:space="preserve"> moderniz</w:t>
      </w:r>
      <w:r w:rsidR="00717163" w:rsidRPr="0090383C">
        <w:rPr>
          <w:iCs/>
          <w:color w:val="auto"/>
        </w:rPr>
        <w:t>uot</w:t>
      </w:r>
      <w:r w:rsidR="00A81C80" w:rsidRPr="0090383C">
        <w:rPr>
          <w:iCs/>
          <w:color w:val="auto"/>
        </w:rPr>
        <w:t>i, pėsčiųjų ir dviračių takų tinkl</w:t>
      </w:r>
      <w:r w:rsidR="004A6A4F" w:rsidRPr="0090383C">
        <w:rPr>
          <w:iCs/>
          <w:color w:val="auto"/>
        </w:rPr>
        <w:t>ui</w:t>
      </w:r>
      <w:r w:rsidR="00A81C80" w:rsidRPr="0090383C">
        <w:rPr>
          <w:iCs/>
          <w:color w:val="auto"/>
        </w:rPr>
        <w:t xml:space="preserve"> plė</w:t>
      </w:r>
      <w:r w:rsidR="004A6A4F" w:rsidRPr="0090383C">
        <w:rPr>
          <w:iCs/>
          <w:color w:val="auto"/>
        </w:rPr>
        <w:t>st</w:t>
      </w:r>
      <w:r w:rsidR="00A81C80" w:rsidRPr="0090383C">
        <w:rPr>
          <w:iCs/>
          <w:color w:val="auto"/>
        </w:rPr>
        <w:t>i.</w:t>
      </w:r>
    </w:p>
    <w:p w:rsidR="00A81C80" w:rsidRPr="0090383C" w:rsidRDefault="00A81C80" w:rsidP="00A81C80">
      <w:pPr>
        <w:pStyle w:val="Default"/>
        <w:jc w:val="both"/>
        <w:rPr>
          <w:color w:val="auto"/>
        </w:rPr>
      </w:pPr>
      <w:r w:rsidRPr="0090383C">
        <w:rPr>
          <w:iCs/>
          <w:color w:val="auto"/>
        </w:rPr>
        <w:tab/>
      </w:r>
      <w:r w:rsidRPr="0090383C">
        <w:rPr>
          <w:color w:val="auto"/>
        </w:rPr>
        <w:t xml:space="preserve">Nacionalinėje aplinkos apsaugos strategijoje prioritetinės aplinkos apsaugos sritys yra keturios: darnus gamtos išteklių </w:t>
      </w:r>
      <w:r w:rsidR="002819E4" w:rsidRPr="0090383C">
        <w:rPr>
          <w:color w:val="auto"/>
        </w:rPr>
        <w:t>naudojimas ir atliekų tvarkymas, aplinkos kokybės gerinimas,</w:t>
      </w:r>
      <w:r w:rsidRPr="0090383C">
        <w:rPr>
          <w:color w:val="auto"/>
        </w:rPr>
        <w:t xml:space="preserve"> ek</w:t>
      </w:r>
      <w:r w:rsidR="002819E4" w:rsidRPr="0090383C">
        <w:rPr>
          <w:color w:val="auto"/>
        </w:rPr>
        <w:t>osistemų stabilumo išsaugojimas,</w:t>
      </w:r>
      <w:r w:rsidRPr="0090383C">
        <w:rPr>
          <w:color w:val="auto"/>
        </w:rPr>
        <w:t xml:space="preserve"> klimato kaitos švelninimas ir prisitaikymas prie klimato kaitos keliamų aplinkos pokyčių. </w:t>
      </w:r>
    </w:p>
    <w:p w:rsidR="00A81C80" w:rsidRPr="0090383C" w:rsidRDefault="00A81C80" w:rsidP="00A81C80">
      <w:pPr>
        <w:pStyle w:val="Default"/>
        <w:jc w:val="both"/>
        <w:rPr>
          <w:iCs/>
          <w:color w:val="auto"/>
        </w:rPr>
      </w:pPr>
      <w:r w:rsidRPr="0090383C">
        <w:rPr>
          <w:color w:val="auto"/>
        </w:rPr>
        <w:tab/>
        <w:t xml:space="preserve">Prie Nacionalinės aplinkos apsaugos strategijos tikslų įgyvendinimo prisideda ir Alytaus miesto savivaldybė. </w:t>
      </w:r>
      <w:r w:rsidR="00DD5650" w:rsidRPr="0090383C">
        <w:rPr>
          <w:iCs/>
          <w:color w:val="auto"/>
        </w:rPr>
        <w:t>2020–2022</w:t>
      </w:r>
      <w:r w:rsidRPr="0090383C">
        <w:rPr>
          <w:iCs/>
          <w:color w:val="auto"/>
        </w:rPr>
        <w:t xml:space="preserve"> m. bus siekiama vystyti efe</w:t>
      </w:r>
      <w:r w:rsidR="004B7AC6" w:rsidRPr="0090383C">
        <w:rPr>
          <w:iCs/>
          <w:color w:val="auto"/>
        </w:rPr>
        <w:t>ktyvią atliekų tvarkymo sistemą</w:t>
      </w:r>
      <w:r w:rsidR="004A6A4F" w:rsidRPr="0090383C">
        <w:rPr>
          <w:iCs/>
          <w:color w:val="auto"/>
        </w:rPr>
        <w:t xml:space="preserve">, </w:t>
      </w:r>
      <w:r w:rsidR="004B7AC6" w:rsidRPr="0090383C">
        <w:rPr>
          <w:iCs/>
          <w:color w:val="auto"/>
        </w:rPr>
        <w:t>didinti</w:t>
      </w:r>
      <w:r w:rsidRPr="0090383C">
        <w:rPr>
          <w:iCs/>
          <w:color w:val="auto"/>
        </w:rPr>
        <w:t xml:space="preserve"> viešosios paskirties objektų, daugiabučių namų atsinaujinančių išteklių energijos naudojimą ir energijos vartojimo efektyvumą, toliau </w:t>
      </w:r>
      <w:r w:rsidR="004B7AC6" w:rsidRPr="0090383C">
        <w:rPr>
          <w:iCs/>
          <w:color w:val="auto"/>
        </w:rPr>
        <w:t xml:space="preserve">bus </w:t>
      </w:r>
      <w:r w:rsidR="004A6A4F" w:rsidRPr="0090383C">
        <w:rPr>
          <w:iCs/>
          <w:color w:val="auto"/>
        </w:rPr>
        <w:t>taik</w:t>
      </w:r>
      <w:r w:rsidR="004B7AC6" w:rsidRPr="0090383C">
        <w:rPr>
          <w:iCs/>
          <w:color w:val="auto"/>
        </w:rPr>
        <w:t>om</w:t>
      </w:r>
      <w:r w:rsidR="004A6A4F" w:rsidRPr="0090383C">
        <w:rPr>
          <w:iCs/>
          <w:color w:val="auto"/>
        </w:rPr>
        <w:t>o</w:t>
      </w:r>
      <w:r w:rsidR="004B7AC6" w:rsidRPr="0090383C">
        <w:rPr>
          <w:iCs/>
          <w:color w:val="auto"/>
        </w:rPr>
        <w:t>s</w:t>
      </w:r>
      <w:r w:rsidRPr="0090383C">
        <w:rPr>
          <w:iCs/>
          <w:color w:val="auto"/>
        </w:rPr>
        <w:t xml:space="preserve"> apl</w:t>
      </w:r>
      <w:r w:rsidR="004B7AC6" w:rsidRPr="0090383C">
        <w:rPr>
          <w:iCs/>
          <w:color w:val="auto"/>
        </w:rPr>
        <w:t>inkos apsaugos priemon</w:t>
      </w:r>
      <w:r w:rsidR="004A6A4F" w:rsidRPr="0090383C">
        <w:rPr>
          <w:iCs/>
          <w:color w:val="auto"/>
        </w:rPr>
        <w:t>ės</w:t>
      </w:r>
      <w:r w:rsidR="004B7AC6" w:rsidRPr="0090383C">
        <w:rPr>
          <w:iCs/>
          <w:color w:val="auto"/>
        </w:rPr>
        <w:t>, vykdomas visuomenės aplinkosauginis švietimas</w:t>
      </w:r>
      <w:r w:rsidRPr="0090383C">
        <w:rPr>
          <w:iCs/>
          <w:color w:val="auto"/>
        </w:rPr>
        <w:t xml:space="preserve">. </w:t>
      </w:r>
    </w:p>
    <w:p w:rsidR="00A81C80" w:rsidRPr="0090383C" w:rsidRDefault="00A81C80" w:rsidP="00A81C80">
      <w:pPr>
        <w:ind w:firstLine="1247"/>
        <w:jc w:val="both"/>
        <w:rPr>
          <w:rFonts w:ascii="Palemonas" w:eastAsia="Times New Roman" w:hAnsi="Palemonas"/>
          <w:sz w:val="24"/>
          <w:szCs w:val="20"/>
        </w:rPr>
      </w:pPr>
      <w:r w:rsidRPr="0090383C">
        <w:rPr>
          <w:rFonts w:ascii="Palemonas" w:eastAsia="Times New Roman" w:hAnsi="Palemonas"/>
          <w:sz w:val="24"/>
          <w:szCs w:val="20"/>
        </w:rPr>
        <w:lastRenderedPageBreak/>
        <w:t>Gerinant gyvenamosios aplinkos kokybę, numatoma įgyvendinti gyvenamųjų teritorijų modernizavimo ir pastatų energetinio modernizavimo projektus, atnaujinti mikrorajonų vaikų žaidimų, sporto aikšteles ir kitus įrenginius. Taip pat prie patogios gyvenamosios aplinkos kūrimo prisidės šiam tikslui įgyvendinti numatomi veiksmai pritaikant ne tik viešosios infrastruktūros objektus, bet ir gyvenamąjį būstą žmonėms su specialiaisiais poreikiais. Siekiant patenkinti miestiečių rekreacinių zonų poreikį, numatoma kuo daugiau miesto žaliųjų zonų pritaikyti poilsiui ir laisvalaikiui, prižiūrėti miesto vandens telkinius ir jų pakrantes. Atsižvelgiant į šiandienos ekologiškos gyvenamosios aplinkos aktualijas, bus siekiama plėsti efektyvią ir saugią atliekų surinkimo, apdorojimo ir panaudojimo sistemą, gerinti atmosferos oro ir geriamojo vandens kokybę, mažinti triukšmą ir užtikrinti ekologišką miesto gamtinę aplinką. Fiziniam gyventojų saugumui užtikrinti numatoma įgyve</w:t>
      </w:r>
      <w:r w:rsidR="00B92F61" w:rsidRPr="0090383C">
        <w:rPr>
          <w:rFonts w:ascii="Palemonas" w:eastAsia="Times New Roman" w:hAnsi="Palemonas"/>
          <w:sz w:val="24"/>
          <w:szCs w:val="20"/>
        </w:rPr>
        <w:t>ndinti saugaus miesto iniciatyv</w:t>
      </w:r>
      <w:r w:rsidR="00CE7619" w:rsidRPr="0090383C">
        <w:rPr>
          <w:rFonts w:ascii="Palemonas" w:eastAsia="Times New Roman" w:hAnsi="Palemonas"/>
          <w:sz w:val="24"/>
          <w:szCs w:val="20"/>
        </w:rPr>
        <w:t>ą</w:t>
      </w:r>
      <w:r w:rsidRPr="0090383C">
        <w:rPr>
          <w:rFonts w:ascii="Palemonas" w:eastAsia="Times New Roman" w:hAnsi="Palemonas"/>
          <w:sz w:val="24"/>
          <w:szCs w:val="20"/>
        </w:rPr>
        <w:t>.</w:t>
      </w:r>
    </w:p>
    <w:p w:rsidR="00AF75AA" w:rsidRPr="00EC6817" w:rsidRDefault="00A81C80" w:rsidP="00DC55A3">
      <w:pPr>
        <w:pStyle w:val="Default"/>
        <w:jc w:val="both"/>
        <w:rPr>
          <w:iCs/>
          <w:color w:val="auto"/>
          <w:sz w:val="23"/>
          <w:szCs w:val="23"/>
        </w:rPr>
      </w:pPr>
      <w:r w:rsidRPr="0090383C">
        <w:rPr>
          <w:sz w:val="23"/>
          <w:szCs w:val="23"/>
        </w:rPr>
        <w:tab/>
      </w:r>
      <w:r w:rsidRPr="00EC6817">
        <w:rPr>
          <w:color w:val="auto"/>
          <w:sz w:val="23"/>
          <w:szCs w:val="23"/>
        </w:rPr>
        <w:t>Alytaus miesto savivaldybės administracijos St</w:t>
      </w:r>
      <w:r w:rsidR="009B0146" w:rsidRPr="00EC6817">
        <w:rPr>
          <w:color w:val="auto"/>
          <w:sz w:val="23"/>
          <w:szCs w:val="23"/>
        </w:rPr>
        <w:t>atybos skyriaus duomenimis, 2018</w:t>
      </w:r>
      <w:r w:rsidRPr="00EC6817">
        <w:rPr>
          <w:color w:val="auto"/>
          <w:sz w:val="23"/>
          <w:szCs w:val="23"/>
        </w:rPr>
        <w:t xml:space="preserve"> m. pabaigoje mieste </w:t>
      </w:r>
      <w:r w:rsidR="009B0146" w:rsidRPr="00EC6817">
        <w:rPr>
          <w:color w:val="auto"/>
          <w:sz w:val="23"/>
          <w:szCs w:val="23"/>
        </w:rPr>
        <w:t>vietinės reikšmės kelių</w:t>
      </w:r>
      <w:r w:rsidRPr="00EC6817">
        <w:rPr>
          <w:color w:val="auto"/>
          <w:sz w:val="23"/>
          <w:szCs w:val="23"/>
        </w:rPr>
        <w:t xml:space="preserve"> ilgis buvo </w:t>
      </w:r>
      <w:r w:rsidR="00A44D55" w:rsidRPr="00EC6817">
        <w:rPr>
          <w:color w:val="auto"/>
          <w:sz w:val="23"/>
          <w:szCs w:val="23"/>
        </w:rPr>
        <w:t>209,4</w:t>
      </w:r>
      <w:r w:rsidR="00B939A7" w:rsidRPr="00EC6817">
        <w:rPr>
          <w:color w:val="auto"/>
          <w:sz w:val="23"/>
          <w:szCs w:val="23"/>
        </w:rPr>
        <w:t xml:space="preserve"> km</w:t>
      </w:r>
      <w:r w:rsidR="00CE7619" w:rsidRPr="00EC6817">
        <w:rPr>
          <w:color w:val="auto"/>
          <w:sz w:val="23"/>
          <w:szCs w:val="23"/>
        </w:rPr>
        <w:t>,</w:t>
      </w:r>
      <w:r w:rsidR="00B939A7" w:rsidRPr="00EC6817">
        <w:rPr>
          <w:color w:val="auto"/>
          <w:sz w:val="23"/>
          <w:szCs w:val="23"/>
        </w:rPr>
        <w:t xml:space="preserve"> iš</w:t>
      </w:r>
      <w:r w:rsidR="009B0146" w:rsidRPr="00EC6817">
        <w:rPr>
          <w:color w:val="auto"/>
          <w:sz w:val="23"/>
          <w:szCs w:val="23"/>
        </w:rPr>
        <w:t xml:space="preserve"> </w:t>
      </w:r>
      <w:r w:rsidRPr="00EC6817">
        <w:rPr>
          <w:color w:val="auto"/>
          <w:sz w:val="23"/>
          <w:szCs w:val="23"/>
        </w:rPr>
        <w:t xml:space="preserve">jų su pagerinta danga (asfalto, trinkelių, grindinio) – </w:t>
      </w:r>
      <w:r w:rsidR="00B939A7" w:rsidRPr="00EC6817">
        <w:rPr>
          <w:color w:val="auto"/>
          <w:sz w:val="23"/>
          <w:szCs w:val="23"/>
        </w:rPr>
        <w:t>1</w:t>
      </w:r>
      <w:r w:rsidR="00A44D55" w:rsidRPr="00EC6817">
        <w:rPr>
          <w:color w:val="auto"/>
          <w:sz w:val="23"/>
          <w:szCs w:val="23"/>
        </w:rPr>
        <w:t>58,3</w:t>
      </w:r>
      <w:r w:rsidR="00B939A7" w:rsidRPr="00EC6817">
        <w:rPr>
          <w:color w:val="auto"/>
          <w:sz w:val="23"/>
          <w:szCs w:val="23"/>
        </w:rPr>
        <w:t xml:space="preserve"> km</w:t>
      </w:r>
      <w:r w:rsidR="00CE7619" w:rsidRPr="00EC6817">
        <w:rPr>
          <w:color w:val="auto"/>
          <w:sz w:val="23"/>
          <w:szCs w:val="23"/>
        </w:rPr>
        <w:t>,</w:t>
      </w:r>
      <w:r w:rsidRPr="00EC6817">
        <w:rPr>
          <w:color w:val="auto"/>
          <w:sz w:val="23"/>
          <w:szCs w:val="23"/>
        </w:rPr>
        <w:t xml:space="preserve"> su žvyro danga – </w:t>
      </w:r>
      <w:r w:rsidR="00A44D55" w:rsidRPr="00EC6817">
        <w:rPr>
          <w:color w:val="auto"/>
          <w:sz w:val="23"/>
          <w:szCs w:val="23"/>
        </w:rPr>
        <w:t>28,5</w:t>
      </w:r>
      <w:r w:rsidR="00A63AC5" w:rsidRPr="00EC6817">
        <w:rPr>
          <w:color w:val="auto"/>
          <w:sz w:val="23"/>
          <w:szCs w:val="23"/>
        </w:rPr>
        <w:t xml:space="preserve"> km, grunto keliai – </w:t>
      </w:r>
      <w:r w:rsidR="00A44D55" w:rsidRPr="00EC6817">
        <w:rPr>
          <w:color w:val="auto"/>
          <w:sz w:val="23"/>
          <w:szCs w:val="23"/>
        </w:rPr>
        <w:t>13,1</w:t>
      </w:r>
      <w:r w:rsidR="00A63AC5" w:rsidRPr="00EC6817">
        <w:rPr>
          <w:color w:val="auto"/>
          <w:sz w:val="23"/>
          <w:szCs w:val="23"/>
        </w:rPr>
        <w:t xml:space="preserve"> km</w:t>
      </w:r>
      <w:r w:rsidR="00A44D55" w:rsidRPr="00EC6817">
        <w:rPr>
          <w:color w:val="auto"/>
          <w:sz w:val="23"/>
          <w:szCs w:val="23"/>
        </w:rPr>
        <w:t>, 9,5</w:t>
      </w:r>
      <w:r w:rsidR="00B939A7" w:rsidRPr="00EC6817">
        <w:rPr>
          <w:color w:val="auto"/>
          <w:sz w:val="23"/>
          <w:szCs w:val="23"/>
        </w:rPr>
        <w:t xml:space="preserve"> km </w:t>
      </w:r>
      <w:r w:rsidR="00CE7619" w:rsidRPr="00EC6817">
        <w:rPr>
          <w:color w:val="auto"/>
          <w:sz w:val="23"/>
          <w:szCs w:val="23"/>
        </w:rPr>
        <w:t xml:space="preserve">– </w:t>
      </w:r>
      <w:r w:rsidR="00B939A7" w:rsidRPr="00EC6817">
        <w:rPr>
          <w:color w:val="auto"/>
          <w:sz w:val="23"/>
          <w:szCs w:val="23"/>
        </w:rPr>
        <w:t>projektinės gatvės.</w:t>
      </w:r>
    </w:p>
    <w:p w:rsidR="00A44D55" w:rsidRPr="0090383C" w:rsidRDefault="00A44D55" w:rsidP="00A81C80">
      <w:pPr>
        <w:pStyle w:val="Default"/>
        <w:jc w:val="center"/>
        <w:rPr>
          <w:rFonts w:eastAsia="Times New Roman"/>
          <w:b/>
          <w:bCs/>
          <w:color w:val="auto"/>
        </w:rPr>
      </w:pPr>
    </w:p>
    <w:p w:rsidR="00A81C80" w:rsidRPr="0090383C" w:rsidRDefault="00A81C80" w:rsidP="00A81C80">
      <w:pPr>
        <w:pStyle w:val="Default"/>
        <w:jc w:val="center"/>
        <w:rPr>
          <w:rFonts w:eastAsia="Times New Roman"/>
          <w:b/>
          <w:bCs/>
          <w:color w:val="auto"/>
        </w:rPr>
      </w:pPr>
      <w:r w:rsidRPr="0090383C">
        <w:rPr>
          <w:rFonts w:eastAsia="Times New Roman"/>
          <w:b/>
          <w:bCs/>
          <w:color w:val="auto"/>
        </w:rPr>
        <w:t>STRATEGINIAI TIKSLAI IR EFEKTO KRITERIJAI</w:t>
      </w:r>
    </w:p>
    <w:p w:rsidR="00CE7619" w:rsidRPr="0090383C" w:rsidRDefault="00CE7619" w:rsidP="00A81C80">
      <w:pPr>
        <w:pStyle w:val="Default"/>
        <w:jc w:val="center"/>
        <w:rPr>
          <w:rFonts w:eastAsia="Times New Roman"/>
          <w:b/>
          <w:bCs/>
          <w:color w:val="auto"/>
        </w:rPr>
      </w:pPr>
    </w:p>
    <w:tbl>
      <w:tblPr>
        <w:tblW w:w="9923"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
        <w:gridCol w:w="9889"/>
      </w:tblGrid>
      <w:tr w:rsidR="000F0FDE" w:rsidRPr="0090383C" w:rsidTr="007C23C8">
        <w:trPr>
          <w:cantSplit/>
          <w:trHeight w:val="471"/>
        </w:trPr>
        <w:tc>
          <w:tcPr>
            <w:tcW w:w="9923"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C23C8" w:rsidRPr="0090383C" w:rsidRDefault="007C23C8" w:rsidP="007C23C8">
            <w:pPr>
              <w:spacing w:before="100" w:beforeAutospacing="1" w:after="100" w:afterAutospacing="1"/>
              <w:jc w:val="both"/>
              <w:rPr>
                <w:rFonts w:ascii="Times New Roman" w:eastAsia="Times New Roman" w:hAnsi="Times New Roman"/>
                <w:b/>
                <w:bCs/>
                <w:sz w:val="24"/>
                <w:szCs w:val="24"/>
                <w:lang w:eastAsia="lt-LT"/>
              </w:rPr>
            </w:pPr>
            <w:r w:rsidRPr="0090383C">
              <w:rPr>
                <w:rFonts w:ascii="Times New Roman" w:eastAsia="Times New Roman" w:hAnsi="Times New Roman"/>
                <w:b/>
                <w:bCs/>
                <w:sz w:val="24"/>
                <w:szCs w:val="24"/>
                <w:lang w:eastAsia="lt-LT"/>
              </w:rPr>
              <w:t xml:space="preserve">01 STRATEGINIS TIKSLAS – </w:t>
            </w:r>
            <w:r w:rsidR="000F6875" w:rsidRPr="0090383C">
              <w:rPr>
                <w:rFonts w:ascii="Times New Roman" w:eastAsia="Times New Roman" w:hAnsi="Times New Roman"/>
                <w:b/>
                <w:bCs/>
                <w:sz w:val="24"/>
                <w:szCs w:val="24"/>
                <w:lang w:eastAsia="lt-LT"/>
              </w:rPr>
              <w:t>užtikrinti gyventojams viešųjų paslaugų įvairovę, kokybę ir prieinamumą</w:t>
            </w:r>
          </w:p>
        </w:tc>
      </w:tr>
      <w:tr w:rsidR="000F0FDE" w:rsidRPr="0090383C" w:rsidTr="000F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cantSplit/>
          <w:trHeight w:val="185"/>
        </w:trPr>
        <w:tc>
          <w:tcPr>
            <w:tcW w:w="9889" w:type="dxa"/>
            <w:tcBorders>
              <w:top w:val="single" w:sz="4" w:space="0" w:color="auto"/>
              <w:left w:val="single" w:sz="4" w:space="0" w:color="auto"/>
              <w:bottom w:val="single" w:sz="4" w:space="0" w:color="auto"/>
              <w:right w:val="single" w:sz="4" w:space="0" w:color="auto"/>
            </w:tcBorders>
          </w:tcPr>
          <w:p w:rsidR="000F6875" w:rsidRPr="0090383C" w:rsidRDefault="007C23C8" w:rsidP="000F6875">
            <w:pPr>
              <w:tabs>
                <w:tab w:val="left" w:pos="1296"/>
                <w:tab w:val="center" w:pos="4153"/>
                <w:tab w:val="right" w:pos="8306"/>
              </w:tabs>
              <w:spacing w:line="276" w:lineRule="auto"/>
              <w:rPr>
                <w:rFonts w:ascii="Times New Roman" w:eastAsia="Times New Roman" w:hAnsi="Times New Roman"/>
                <w:b/>
                <w:sz w:val="24"/>
                <w:szCs w:val="24"/>
              </w:rPr>
            </w:pPr>
            <w:r w:rsidRPr="0090383C">
              <w:rPr>
                <w:rFonts w:ascii="Times New Roman" w:eastAsia="Times New Roman" w:hAnsi="Times New Roman"/>
                <w:b/>
                <w:sz w:val="24"/>
                <w:szCs w:val="24"/>
              </w:rPr>
              <w:t>Efekto kriterijai (n</w:t>
            </w:r>
            <w:r w:rsidR="00153464" w:rsidRPr="0090383C">
              <w:rPr>
                <w:rFonts w:ascii="Times New Roman" w:eastAsia="Times New Roman" w:hAnsi="Times New Roman"/>
                <w:b/>
                <w:sz w:val="24"/>
                <w:szCs w:val="24"/>
              </w:rPr>
              <w:t>urodomos siektinos reikšmės 2021</w:t>
            </w:r>
            <w:r w:rsidRPr="0090383C">
              <w:rPr>
                <w:rFonts w:ascii="Times New Roman" w:eastAsia="Times New Roman" w:hAnsi="Times New Roman"/>
                <w:b/>
                <w:sz w:val="24"/>
                <w:szCs w:val="24"/>
              </w:rPr>
              <w:t xml:space="preserve"> m.):</w:t>
            </w:r>
          </w:p>
          <w:p w:rsidR="000F6875" w:rsidRPr="0090383C" w:rsidRDefault="000F6875" w:rsidP="000F6875">
            <w:pPr>
              <w:tabs>
                <w:tab w:val="left" w:pos="1296"/>
                <w:tab w:val="center" w:pos="4153"/>
                <w:tab w:val="right" w:pos="8306"/>
              </w:tabs>
              <w:spacing w:line="276" w:lineRule="auto"/>
              <w:rPr>
                <w:rFonts w:ascii="Times New Roman" w:eastAsia="Times New Roman" w:hAnsi="Times New Roman"/>
                <w:b/>
                <w:sz w:val="24"/>
                <w:szCs w:val="24"/>
              </w:rPr>
            </w:pPr>
            <w:r w:rsidRPr="0090383C">
              <w:rPr>
                <w:rFonts w:ascii="Times New Roman" w:eastAsia="Times New Roman" w:hAnsi="Times New Roman"/>
                <w:sz w:val="24"/>
                <w:szCs w:val="24"/>
                <w:lang w:eastAsia="lt-LT"/>
              </w:rPr>
              <w:t>E-01-01 Gyventojų skaičiaus pokytis  &lt; -</w:t>
            </w:r>
            <w:r w:rsidR="003D7020">
              <w:rPr>
                <w:rFonts w:ascii="Times New Roman" w:eastAsia="Times New Roman" w:hAnsi="Times New Roman"/>
                <w:sz w:val="24"/>
                <w:szCs w:val="24"/>
                <w:lang w:eastAsia="lt-LT"/>
              </w:rPr>
              <w:t>1,</w:t>
            </w:r>
            <w:r w:rsidR="00372751">
              <w:rPr>
                <w:rFonts w:ascii="Times New Roman" w:eastAsia="Times New Roman" w:hAnsi="Times New Roman"/>
                <w:sz w:val="24"/>
                <w:szCs w:val="24"/>
                <w:lang w:eastAsia="lt-LT"/>
              </w:rPr>
              <w:t>6</w:t>
            </w:r>
            <w:r w:rsidRPr="0090383C">
              <w:rPr>
                <w:rFonts w:ascii="Times New Roman" w:eastAsia="Times New Roman" w:hAnsi="Times New Roman"/>
                <w:sz w:val="24"/>
                <w:szCs w:val="24"/>
                <w:lang w:eastAsia="lt-LT"/>
              </w:rPr>
              <w:t xml:space="preserve"> %</w:t>
            </w:r>
          </w:p>
          <w:p w:rsidR="007C23C8" w:rsidRPr="0090383C" w:rsidRDefault="000F6875" w:rsidP="007C23C8">
            <w:pPr>
              <w:tabs>
                <w:tab w:val="left" w:pos="1296"/>
                <w:tab w:val="center" w:pos="4153"/>
                <w:tab w:val="right" w:pos="8306"/>
              </w:tabs>
              <w:spacing w:line="276" w:lineRule="auto"/>
              <w:rPr>
                <w:rFonts w:ascii="Times New Roman" w:eastAsia="Times New Roman" w:hAnsi="Times New Roman"/>
                <w:b/>
                <w:sz w:val="24"/>
                <w:szCs w:val="24"/>
              </w:rPr>
            </w:pPr>
            <w:r w:rsidRPr="0090383C">
              <w:rPr>
                <w:rFonts w:ascii="Times New Roman" w:eastAsia="Times New Roman" w:hAnsi="Times New Roman"/>
                <w:sz w:val="24"/>
                <w:szCs w:val="24"/>
                <w:lang w:eastAsia="lt-LT"/>
              </w:rPr>
              <w:t>E-01-01 Vidutinė tikėtina gyvenimo trukmė  &gt; 76,3</w:t>
            </w:r>
          </w:p>
        </w:tc>
      </w:tr>
      <w:tr w:rsidR="000F0FDE" w:rsidRPr="0090383C" w:rsidTr="000F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cantSplit/>
          <w:trHeight w:val="185"/>
        </w:trPr>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23C8" w:rsidRPr="0090383C" w:rsidRDefault="007C23C8" w:rsidP="007C23C8">
            <w:pPr>
              <w:tabs>
                <w:tab w:val="left" w:pos="1296"/>
                <w:tab w:val="center" w:pos="4153"/>
                <w:tab w:val="right" w:pos="8306"/>
              </w:tabs>
              <w:spacing w:line="276" w:lineRule="auto"/>
              <w:rPr>
                <w:rFonts w:ascii="Times New Roman" w:eastAsia="Times New Roman" w:hAnsi="Times New Roman"/>
                <w:b/>
                <w:sz w:val="24"/>
                <w:szCs w:val="24"/>
              </w:rPr>
            </w:pPr>
            <w:r w:rsidRPr="0090383C">
              <w:rPr>
                <w:rFonts w:ascii="Times New Roman" w:eastAsia="Times New Roman" w:hAnsi="Times New Roman"/>
                <w:b/>
                <w:sz w:val="24"/>
                <w:szCs w:val="24"/>
                <w:shd w:val="clear" w:color="auto" w:fill="E0E0E0"/>
              </w:rPr>
              <w:t xml:space="preserve">02 STRATEGINIS TIKSLAS – </w:t>
            </w:r>
            <w:r w:rsidR="000F6875" w:rsidRPr="0090383C">
              <w:rPr>
                <w:rFonts w:ascii="Times New Roman" w:eastAsia="Times New Roman" w:hAnsi="Times New Roman"/>
                <w:b/>
                <w:bCs/>
                <w:sz w:val="24"/>
                <w:szCs w:val="24"/>
                <w:lang w:eastAsia="lt-LT"/>
              </w:rPr>
              <w:t>didinti miesto konkurencingumą, sudarant palankias sąlygas verslui</w:t>
            </w:r>
          </w:p>
        </w:tc>
      </w:tr>
      <w:tr w:rsidR="000F0FDE" w:rsidRPr="0090383C" w:rsidTr="000F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cantSplit/>
          <w:trHeight w:val="185"/>
        </w:trPr>
        <w:tc>
          <w:tcPr>
            <w:tcW w:w="9889" w:type="dxa"/>
            <w:tcBorders>
              <w:top w:val="single" w:sz="4" w:space="0" w:color="auto"/>
              <w:left w:val="single" w:sz="4" w:space="0" w:color="auto"/>
              <w:bottom w:val="single" w:sz="4" w:space="0" w:color="auto"/>
              <w:right w:val="single" w:sz="4" w:space="0" w:color="auto"/>
            </w:tcBorders>
          </w:tcPr>
          <w:p w:rsidR="000F6875" w:rsidRPr="0090383C" w:rsidRDefault="007C23C8" w:rsidP="000F6875">
            <w:pPr>
              <w:tabs>
                <w:tab w:val="left" w:pos="1296"/>
                <w:tab w:val="center" w:pos="4153"/>
                <w:tab w:val="right" w:pos="8306"/>
              </w:tabs>
              <w:spacing w:line="276" w:lineRule="auto"/>
              <w:rPr>
                <w:rFonts w:ascii="Times New Roman" w:eastAsia="Times New Roman" w:hAnsi="Times New Roman"/>
                <w:b/>
                <w:sz w:val="24"/>
                <w:szCs w:val="24"/>
              </w:rPr>
            </w:pPr>
            <w:r w:rsidRPr="0090383C">
              <w:rPr>
                <w:rFonts w:ascii="Times New Roman" w:eastAsia="Times New Roman" w:hAnsi="Times New Roman"/>
                <w:b/>
                <w:sz w:val="24"/>
                <w:szCs w:val="24"/>
              </w:rPr>
              <w:t>Efekto kriterijai (n</w:t>
            </w:r>
            <w:r w:rsidR="00153464" w:rsidRPr="0090383C">
              <w:rPr>
                <w:rFonts w:ascii="Times New Roman" w:eastAsia="Times New Roman" w:hAnsi="Times New Roman"/>
                <w:b/>
                <w:sz w:val="24"/>
                <w:szCs w:val="24"/>
              </w:rPr>
              <w:t>urodomos siektinos reikšmės 2021</w:t>
            </w:r>
            <w:r w:rsidRPr="0090383C">
              <w:rPr>
                <w:rFonts w:ascii="Times New Roman" w:eastAsia="Times New Roman" w:hAnsi="Times New Roman"/>
                <w:b/>
                <w:sz w:val="24"/>
                <w:szCs w:val="24"/>
              </w:rPr>
              <w:t xml:space="preserve"> m.):</w:t>
            </w:r>
          </w:p>
          <w:p w:rsidR="007C23C8" w:rsidRPr="0090383C" w:rsidRDefault="000F6875" w:rsidP="00522FAF">
            <w:pPr>
              <w:tabs>
                <w:tab w:val="left" w:pos="1296"/>
                <w:tab w:val="center" w:pos="4153"/>
                <w:tab w:val="right" w:pos="8306"/>
              </w:tabs>
              <w:spacing w:line="276" w:lineRule="auto"/>
              <w:rPr>
                <w:rFonts w:ascii="Times New Roman" w:eastAsia="Times New Roman" w:hAnsi="Times New Roman"/>
                <w:b/>
                <w:sz w:val="24"/>
                <w:szCs w:val="24"/>
              </w:rPr>
            </w:pPr>
            <w:r w:rsidRPr="0090383C">
              <w:rPr>
                <w:rFonts w:ascii="Times New Roman" w:eastAsia="Times New Roman" w:hAnsi="Times New Roman"/>
                <w:sz w:val="24"/>
                <w:szCs w:val="24"/>
                <w:lang w:eastAsia="lt-LT"/>
              </w:rPr>
              <w:t>E-02-01 Verslumo lygis (SVV įmonių skaičius, tenkantis 1000-iui gyventojų) – &gt; 3</w:t>
            </w:r>
            <w:r w:rsidR="00372751">
              <w:rPr>
                <w:rFonts w:ascii="Times New Roman" w:eastAsia="Times New Roman" w:hAnsi="Times New Roman"/>
                <w:sz w:val="24"/>
                <w:szCs w:val="24"/>
                <w:lang w:eastAsia="lt-LT"/>
              </w:rPr>
              <w:t>6</w:t>
            </w:r>
          </w:p>
        </w:tc>
      </w:tr>
      <w:tr w:rsidR="000F0FDE" w:rsidRPr="0090383C" w:rsidTr="000F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cantSplit/>
          <w:trHeight w:val="185"/>
        </w:trPr>
        <w:tc>
          <w:tcPr>
            <w:tcW w:w="9889" w:type="dxa"/>
            <w:tcBorders>
              <w:top w:val="single" w:sz="4" w:space="0" w:color="auto"/>
              <w:left w:val="single" w:sz="4" w:space="0" w:color="auto"/>
              <w:bottom w:val="single" w:sz="4" w:space="0" w:color="auto"/>
              <w:right w:val="single" w:sz="4" w:space="0" w:color="auto"/>
            </w:tcBorders>
            <w:shd w:val="pct12" w:color="auto" w:fill="auto"/>
            <w:hideMark/>
          </w:tcPr>
          <w:p w:rsidR="007C23C8" w:rsidRPr="0090383C" w:rsidRDefault="007C23C8" w:rsidP="007C23C8">
            <w:pPr>
              <w:tabs>
                <w:tab w:val="left" w:pos="1296"/>
                <w:tab w:val="center" w:pos="4153"/>
                <w:tab w:val="right" w:pos="8306"/>
              </w:tabs>
              <w:spacing w:line="276" w:lineRule="auto"/>
              <w:rPr>
                <w:rFonts w:ascii="Times New Roman" w:eastAsia="Times New Roman" w:hAnsi="Times New Roman"/>
                <w:b/>
                <w:sz w:val="24"/>
                <w:szCs w:val="24"/>
                <w:shd w:val="clear" w:color="auto" w:fill="E0E0E0"/>
              </w:rPr>
            </w:pPr>
            <w:r w:rsidRPr="0090383C">
              <w:rPr>
                <w:rFonts w:ascii="Times New Roman" w:eastAsia="Times New Roman" w:hAnsi="Times New Roman"/>
                <w:b/>
                <w:sz w:val="24"/>
                <w:szCs w:val="24"/>
              </w:rPr>
              <w:t xml:space="preserve">03 STRATEGINIS TIKSLAS – </w:t>
            </w:r>
            <w:r w:rsidR="000F6875" w:rsidRPr="0090383C">
              <w:rPr>
                <w:rFonts w:ascii="Times New Roman" w:eastAsia="Times New Roman" w:hAnsi="Times New Roman"/>
                <w:b/>
                <w:bCs/>
                <w:sz w:val="24"/>
                <w:szCs w:val="24"/>
                <w:shd w:val="clear" w:color="auto" w:fill="E0E0E0"/>
                <w:lang w:eastAsia="lt-LT"/>
              </w:rPr>
              <w:t>kurti patrauklią, švarią ir saugią miesto gyvenamąją aplinką</w:t>
            </w:r>
          </w:p>
        </w:tc>
      </w:tr>
      <w:tr w:rsidR="000F0FDE" w:rsidRPr="0090383C" w:rsidTr="000F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cantSplit/>
          <w:trHeight w:val="75"/>
        </w:trPr>
        <w:tc>
          <w:tcPr>
            <w:tcW w:w="9889" w:type="dxa"/>
            <w:tcBorders>
              <w:top w:val="single" w:sz="4" w:space="0" w:color="auto"/>
              <w:left w:val="single" w:sz="4" w:space="0" w:color="auto"/>
              <w:bottom w:val="single" w:sz="4" w:space="0" w:color="auto"/>
              <w:right w:val="single" w:sz="4" w:space="0" w:color="auto"/>
            </w:tcBorders>
          </w:tcPr>
          <w:p w:rsidR="000F6875" w:rsidRPr="0090383C" w:rsidRDefault="007C23C8" w:rsidP="000F6875">
            <w:pPr>
              <w:spacing w:line="276" w:lineRule="auto"/>
              <w:rPr>
                <w:rFonts w:ascii="Times New Roman" w:eastAsia="Times New Roman" w:hAnsi="Times New Roman"/>
                <w:b/>
                <w:bCs/>
                <w:sz w:val="24"/>
                <w:szCs w:val="24"/>
              </w:rPr>
            </w:pPr>
            <w:r w:rsidRPr="0090383C">
              <w:rPr>
                <w:rFonts w:ascii="Times New Roman" w:eastAsia="Times New Roman" w:hAnsi="Times New Roman"/>
                <w:b/>
                <w:bCs/>
                <w:sz w:val="24"/>
                <w:szCs w:val="24"/>
              </w:rPr>
              <w:t>Efekto kriterijai (n</w:t>
            </w:r>
            <w:r w:rsidR="00153464" w:rsidRPr="0090383C">
              <w:rPr>
                <w:rFonts w:ascii="Times New Roman" w:eastAsia="Times New Roman" w:hAnsi="Times New Roman"/>
                <w:b/>
                <w:bCs/>
                <w:sz w:val="24"/>
                <w:szCs w:val="24"/>
              </w:rPr>
              <w:t>urodomos siektinos reikšmės 2021</w:t>
            </w:r>
            <w:r w:rsidRPr="0090383C">
              <w:rPr>
                <w:rFonts w:ascii="Times New Roman" w:eastAsia="Times New Roman" w:hAnsi="Times New Roman"/>
                <w:b/>
                <w:bCs/>
                <w:sz w:val="24"/>
                <w:szCs w:val="24"/>
              </w:rPr>
              <w:t xml:space="preserve"> m.):</w:t>
            </w:r>
          </w:p>
          <w:p w:rsidR="000F6875" w:rsidRPr="0090383C" w:rsidRDefault="000F6875" w:rsidP="000F6875">
            <w:pPr>
              <w:spacing w:line="276" w:lineRule="auto"/>
              <w:rPr>
                <w:rFonts w:ascii="Times New Roman" w:eastAsia="Times New Roman" w:hAnsi="Times New Roman"/>
                <w:b/>
                <w:bCs/>
                <w:sz w:val="24"/>
                <w:szCs w:val="24"/>
              </w:rPr>
            </w:pPr>
            <w:r w:rsidRPr="0090383C">
              <w:rPr>
                <w:rFonts w:ascii="Times New Roman" w:eastAsia="Times New Roman" w:hAnsi="Times New Roman"/>
                <w:sz w:val="24"/>
                <w:szCs w:val="24"/>
                <w:lang w:eastAsia="lt-LT"/>
              </w:rPr>
              <w:t>E-03-01 Parų skaičius, kai viršijamos ribinės teršalų vertės per metus (KD</w:t>
            </w:r>
            <w:r w:rsidRPr="0090383C">
              <w:rPr>
                <w:rFonts w:ascii="Times New Roman" w:eastAsia="Times New Roman" w:hAnsi="Times New Roman"/>
                <w:sz w:val="24"/>
                <w:szCs w:val="24"/>
                <w:vertAlign w:val="subscript"/>
                <w:lang w:eastAsia="lt-LT"/>
              </w:rPr>
              <w:t>10</w:t>
            </w:r>
            <w:r w:rsidRPr="0090383C">
              <w:rPr>
                <w:rFonts w:ascii="Times New Roman" w:eastAsia="Times New Roman" w:hAnsi="Times New Roman"/>
                <w:sz w:val="24"/>
                <w:szCs w:val="24"/>
                <w:lang w:eastAsia="lt-LT"/>
              </w:rPr>
              <w:t>; matavimų oro kokybės stotyse duomenys) – ne daugiau kaip 30 (neviršijami norminiai rodikliai)</w:t>
            </w:r>
          </w:p>
          <w:p w:rsidR="007C23C8" w:rsidRPr="0090383C" w:rsidRDefault="000F6875" w:rsidP="00522FAF">
            <w:pPr>
              <w:spacing w:line="276" w:lineRule="auto"/>
              <w:rPr>
                <w:rFonts w:ascii="Times New Roman" w:eastAsia="Times New Roman" w:hAnsi="Times New Roman"/>
                <w:b/>
                <w:bCs/>
                <w:sz w:val="24"/>
                <w:szCs w:val="24"/>
              </w:rPr>
            </w:pPr>
            <w:r w:rsidRPr="0090383C">
              <w:rPr>
                <w:rFonts w:ascii="Times New Roman" w:eastAsia="Times New Roman" w:hAnsi="Times New Roman"/>
                <w:sz w:val="24"/>
                <w:szCs w:val="24"/>
                <w:lang w:eastAsia="lt-LT"/>
              </w:rPr>
              <w:t xml:space="preserve">E-03-02 </w:t>
            </w:r>
            <w:r w:rsidR="00D0549A" w:rsidRPr="0090383C">
              <w:rPr>
                <w:rFonts w:ascii="Times New Roman" w:eastAsia="Times New Roman" w:hAnsi="Times New Roman"/>
                <w:sz w:val="24"/>
                <w:szCs w:val="24"/>
                <w:lang w:eastAsia="lt-LT"/>
              </w:rPr>
              <w:t>Avaringumo lygis</w:t>
            </w:r>
            <w:r w:rsidRPr="0090383C">
              <w:rPr>
                <w:rFonts w:ascii="Times New Roman" w:eastAsia="Times New Roman" w:hAnsi="Times New Roman"/>
                <w:sz w:val="24"/>
                <w:szCs w:val="24"/>
                <w:lang w:eastAsia="lt-LT"/>
              </w:rPr>
              <w:t xml:space="preserve"> (</w:t>
            </w:r>
            <w:r w:rsidR="00D0549A" w:rsidRPr="0090383C">
              <w:rPr>
                <w:rFonts w:ascii="Times New Roman" w:eastAsia="Times New Roman" w:hAnsi="Times New Roman"/>
                <w:sz w:val="24"/>
                <w:szCs w:val="24"/>
                <w:lang w:eastAsia="lt-LT"/>
              </w:rPr>
              <w:t>eismo įvykių skaičius</w:t>
            </w:r>
            <w:r w:rsidRPr="0090383C">
              <w:rPr>
                <w:rFonts w:ascii="Times New Roman" w:eastAsia="Times New Roman" w:hAnsi="Times New Roman"/>
                <w:sz w:val="24"/>
                <w:szCs w:val="24"/>
                <w:lang w:eastAsia="lt-LT"/>
              </w:rPr>
              <w:t xml:space="preserve">), vnt.  &lt; </w:t>
            </w:r>
            <w:r w:rsidR="00372751">
              <w:rPr>
                <w:rFonts w:ascii="Times New Roman" w:eastAsia="Times New Roman" w:hAnsi="Times New Roman"/>
                <w:sz w:val="24"/>
                <w:szCs w:val="24"/>
                <w:lang w:eastAsia="lt-LT"/>
              </w:rPr>
              <w:t>1</w:t>
            </w:r>
            <w:r w:rsidR="00AD4480">
              <w:rPr>
                <w:rFonts w:ascii="Times New Roman" w:eastAsia="Times New Roman" w:hAnsi="Times New Roman"/>
                <w:sz w:val="24"/>
                <w:szCs w:val="24"/>
                <w:lang w:eastAsia="lt-LT"/>
              </w:rPr>
              <w:t>50</w:t>
            </w:r>
          </w:p>
        </w:tc>
      </w:tr>
    </w:tbl>
    <w:p w:rsidR="00A81C80" w:rsidRPr="0090383C" w:rsidRDefault="00A81C80" w:rsidP="00A81C80">
      <w:pPr>
        <w:pStyle w:val="Default"/>
        <w:spacing w:after="9"/>
        <w:ind w:left="720"/>
        <w:jc w:val="center"/>
        <w:rPr>
          <w:color w:val="auto"/>
          <w:sz w:val="23"/>
          <w:szCs w:val="23"/>
        </w:rPr>
      </w:pPr>
    </w:p>
    <w:p w:rsidR="00A81C80" w:rsidRPr="0090383C" w:rsidRDefault="00A81C80" w:rsidP="00A81C80">
      <w:pPr>
        <w:pStyle w:val="Default"/>
        <w:spacing w:after="9"/>
        <w:ind w:left="720"/>
        <w:jc w:val="center"/>
        <w:rPr>
          <w:b/>
          <w:bCs/>
          <w:color w:val="auto"/>
          <w:sz w:val="23"/>
          <w:szCs w:val="23"/>
        </w:rPr>
      </w:pPr>
      <w:r w:rsidRPr="0090383C">
        <w:rPr>
          <w:b/>
          <w:bCs/>
          <w:color w:val="auto"/>
          <w:sz w:val="23"/>
          <w:szCs w:val="23"/>
        </w:rPr>
        <w:t>VEIKLOS STRATEGINIŲ POKYČIŲ ĮVERTINIMO KRITERIJAI</w:t>
      </w:r>
    </w:p>
    <w:p w:rsidR="00A81C80" w:rsidRPr="0090383C" w:rsidRDefault="00A81C80" w:rsidP="00A81C80">
      <w:pPr>
        <w:pStyle w:val="Default"/>
        <w:spacing w:after="9"/>
        <w:ind w:left="720"/>
        <w:jc w:val="center"/>
        <w:rPr>
          <w:b/>
          <w:bCs/>
          <w:color w:val="auto"/>
          <w:sz w:val="23"/>
          <w:szCs w:val="23"/>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992"/>
        <w:gridCol w:w="937"/>
        <w:gridCol w:w="2005"/>
      </w:tblGrid>
      <w:tr w:rsidR="000F0FDE" w:rsidRPr="0090383C" w:rsidTr="00CC3516">
        <w:tc>
          <w:tcPr>
            <w:tcW w:w="9888" w:type="dxa"/>
            <w:gridSpan w:val="5"/>
            <w:shd w:val="clear" w:color="auto" w:fill="DDD9C3"/>
          </w:tcPr>
          <w:p w:rsidR="00A81C80" w:rsidRPr="0090383C" w:rsidRDefault="00A81C80" w:rsidP="00885CA6">
            <w:pPr>
              <w:pStyle w:val="Default"/>
              <w:spacing w:after="9"/>
              <w:jc w:val="center"/>
              <w:rPr>
                <w:color w:val="auto"/>
                <w:sz w:val="23"/>
                <w:szCs w:val="23"/>
              </w:rPr>
            </w:pPr>
            <w:r w:rsidRPr="0090383C">
              <w:rPr>
                <w:rFonts w:eastAsia="Times New Roman"/>
                <w:b/>
                <w:bCs/>
                <w:color w:val="auto"/>
              </w:rPr>
              <w:t>01 STRATEGINIS TIKSLAS – užtikrinti gyventojams viešųjų paslaugų įvairovę</w:t>
            </w:r>
            <w:r w:rsidR="00885CA6" w:rsidRPr="0090383C">
              <w:rPr>
                <w:rFonts w:eastAsia="Times New Roman"/>
                <w:b/>
                <w:bCs/>
                <w:color w:val="auto"/>
              </w:rPr>
              <w:t>,</w:t>
            </w:r>
            <w:r w:rsidRPr="0090383C">
              <w:rPr>
                <w:rFonts w:eastAsia="Times New Roman"/>
                <w:b/>
                <w:bCs/>
                <w:color w:val="auto"/>
              </w:rPr>
              <w:t xml:space="preserve"> kokybę ir prieinamumą</w:t>
            </w:r>
          </w:p>
        </w:tc>
      </w:tr>
      <w:tr w:rsidR="000F0FDE" w:rsidRPr="0090383C" w:rsidTr="00CC3516">
        <w:tc>
          <w:tcPr>
            <w:tcW w:w="4962" w:type="dxa"/>
            <w:vMerge w:val="restart"/>
            <w:shd w:val="clear" w:color="auto" w:fill="auto"/>
          </w:tcPr>
          <w:p w:rsidR="00A81C80" w:rsidRPr="0090383C" w:rsidRDefault="00A81C80" w:rsidP="00CC3516">
            <w:pPr>
              <w:pStyle w:val="Default"/>
              <w:spacing w:after="9"/>
              <w:jc w:val="center"/>
              <w:rPr>
                <w:color w:val="auto"/>
                <w:sz w:val="23"/>
                <w:szCs w:val="23"/>
              </w:rPr>
            </w:pPr>
            <w:r w:rsidRPr="0090383C">
              <w:rPr>
                <w:color w:val="auto"/>
                <w:sz w:val="23"/>
                <w:szCs w:val="23"/>
              </w:rPr>
              <w:t>Rezultato kriterijus</w:t>
            </w:r>
          </w:p>
        </w:tc>
        <w:tc>
          <w:tcPr>
            <w:tcW w:w="2921" w:type="dxa"/>
            <w:gridSpan w:val="3"/>
            <w:shd w:val="clear" w:color="auto" w:fill="auto"/>
          </w:tcPr>
          <w:p w:rsidR="00A81C80" w:rsidRPr="0090383C" w:rsidRDefault="00A81C80" w:rsidP="00CC3516">
            <w:pPr>
              <w:pStyle w:val="Default"/>
              <w:spacing w:after="9"/>
              <w:jc w:val="center"/>
              <w:rPr>
                <w:color w:val="auto"/>
                <w:sz w:val="23"/>
                <w:szCs w:val="23"/>
              </w:rPr>
            </w:pPr>
            <w:r w:rsidRPr="0090383C">
              <w:rPr>
                <w:color w:val="auto"/>
                <w:sz w:val="23"/>
                <w:szCs w:val="23"/>
              </w:rPr>
              <w:t>Rezultatų kriterijų reikšmės</w:t>
            </w:r>
          </w:p>
        </w:tc>
        <w:tc>
          <w:tcPr>
            <w:tcW w:w="2005" w:type="dxa"/>
            <w:vMerge w:val="restart"/>
            <w:shd w:val="clear" w:color="auto" w:fill="auto"/>
          </w:tcPr>
          <w:p w:rsidR="00A81C80" w:rsidRPr="0090383C" w:rsidRDefault="00A81C80" w:rsidP="00CC3516">
            <w:pPr>
              <w:pStyle w:val="Default"/>
              <w:spacing w:after="9"/>
              <w:jc w:val="center"/>
              <w:rPr>
                <w:color w:val="auto"/>
                <w:sz w:val="23"/>
                <w:szCs w:val="23"/>
              </w:rPr>
            </w:pPr>
            <w:r w:rsidRPr="0090383C">
              <w:rPr>
                <w:color w:val="auto"/>
                <w:sz w:val="23"/>
                <w:szCs w:val="23"/>
              </w:rPr>
              <w:t>Atsakingi vykdytojai</w:t>
            </w:r>
          </w:p>
        </w:tc>
      </w:tr>
      <w:tr w:rsidR="000F0FDE" w:rsidRPr="0090383C" w:rsidTr="00CC3516">
        <w:tc>
          <w:tcPr>
            <w:tcW w:w="4962" w:type="dxa"/>
            <w:vMerge/>
            <w:shd w:val="clear" w:color="auto" w:fill="auto"/>
          </w:tcPr>
          <w:p w:rsidR="00A81C80" w:rsidRPr="0090383C" w:rsidRDefault="00A81C80" w:rsidP="00CC3516">
            <w:pPr>
              <w:pStyle w:val="Default"/>
              <w:spacing w:after="9"/>
              <w:jc w:val="center"/>
              <w:rPr>
                <w:color w:val="auto"/>
                <w:sz w:val="23"/>
                <w:szCs w:val="23"/>
              </w:rPr>
            </w:pPr>
          </w:p>
        </w:tc>
        <w:tc>
          <w:tcPr>
            <w:tcW w:w="992" w:type="dxa"/>
            <w:shd w:val="clear" w:color="auto" w:fill="auto"/>
          </w:tcPr>
          <w:p w:rsidR="00A81C80" w:rsidRPr="0090383C" w:rsidRDefault="00DD5650" w:rsidP="00CC3516">
            <w:pPr>
              <w:pStyle w:val="Default"/>
              <w:spacing w:after="9"/>
              <w:jc w:val="center"/>
              <w:rPr>
                <w:color w:val="auto"/>
                <w:sz w:val="23"/>
                <w:szCs w:val="23"/>
              </w:rPr>
            </w:pPr>
            <w:r w:rsidRPr="0090383C">
              <w:rPr>
                <w:color w:val="auto"/>
                <w:sz w:val="23"/>
                <w:szCs w:val="23"/>
              </w:rPr>
              <w:t>2020</w:t>
            </w:r>
          </w:p>
        </w:tc>
        <w:tc>
          <w:tcPr>
            <w:tcW w:w="992" w:type="dxa"/>
            <w:shd w:val="clear" w:color="auto" w:fill="auto"/>
          </w:tcPr>
          <w:p w:rsidR="00A81C80" w:rsidRPr="0090383C" w:rsidRDefault="00DD5650" w:rsidP="00CC3516">
            <w:pPr>
              <w:pStyle w:val="Default"/>
              <w:spacing w:after="9"/>
              <w:jc w:val="center"/>
              <w:rPr>
                <w:color w:val="auto"/>
                <w:sz w:val="23"/>
                <w:szCs w:val="23"/>
              </w:rPr>
            </w:pPr>
            <w:r w:rsidRPr="0090383C">
              <w:rPr>
                <w:color w:val="auto"/>
                <w:sz w:val="23"/>
                <w:szCs w:val="23"/>
              </w:rPr>
              <w:t>2021</w:t>
            </w:r>
          </w:p>
        </w:tc>
        <w:tc>
          <w:tcPr>
            <w:tcW w:w="937" w:type="dxa"/>
            <w:shd w:val="clear" w:color="auto" w:fill="auto"/>
          </w:tcPr>
          <w:p w:rsidR="00A81C80" w:rsidRPr="0090383C" w:rsidRDefault="00DD5650" w:rsidP="00CC3516">
            <w:pPr>
              <w:pStyle w:val="Default"/>
              <w:spacing w:after="9"/>
              <w:jc w:val="center"/>
              <w:rPr>
                <w:color w:val="auto"/>
                <w:sz w:val="23"/>
                <w:szCs w:val="23"/>
              </w:rPr>
            </w:pPr>
            <w:r w:rsidRPr="0090383C">
              <w:rPr>
                <w:color w:val="auto"/>
                <w:sz w:val="23"/>
                <w:szCs w:val="23"/>
              </w:rPr>
              <w:t>2022</w:t>
            </w:r>
          </w:p>
        </w:tc>
        <w:tc>
          <w:tcPr>
            <w:tcW w:w="2005" w:type="dxa"/>
            <w:vMerge/>
            <w:shd w:val="clear" w:color="auto" w:fill="auto"/>
          </w:tcPr>
          <w:p w:rsidR="00A81C80" w:rsidRPr="0090383C" w:rsidRDefault="00A81C80" w:rsidP="00CC3516">
            <w:pPr>
              <w:pStyle w:val="Default"/>
              <w:spacing w:after="9"/>
              <w:jc w:val="center"/>
              <w:rPr>
                <w:color w:val="auto"/>
                <w:sz w:val="23"/>
                <w:szCs w:val="23"/>
              </w:rPr>
            </w:pPr>
          </w:p>
        </w:tc>
      </w:tr>
      <w:tr w:rsidR="000F0FDE" w:rsidRPr="0090383C" w:rsidTr="00CC3516">
        <w:tc>
          <w:tcPr>
            <w:tcW w:w="4962" w:type="dxa"/>
            <w:shd w:val="clear" w:color="auto" w:fill="auto"/>
          </w:tcPr>
          <w:p w:rsidR="00A81C80" w:rsidRPr="0090383C" w:rsidRDefault="00A81C80" w:rsidP="00CC3516">
            <w:pPr>
              <w:pStyle w:val="Sraopastraipa"/>
              <w:tabs>
                <w:tab w:val="left" w:pos="851"/>
              </w:tabs>
              <w:ind w:left="34"/>
              <w:jc w:val="both"/>
              <w:rPr>
                <w:sz w:val="23"/>
                <w:szCs w:val="23"/>
              </w:rPr>
            </w:pPr>
            <w:r w:rsidRPr="0090383C">
              <w:t>Elektroniniu būdu teikiamų paslaugų dalis nuo visų teikiamų paslaugų, proc.</w:t>
            </w:r>
          </w:p>
        </w:tc>
        <w:tc>
          <w:tcPr>
            <w:tcW w:w="992" w:type="dxa"/>
            <w:shd w:val="clear" w:color="auto" w:fill="auto"/>
          </w:tcPr>
          <w:p w:rsidR="00A81C80" w:rsidRPr="0090383C" w:rsidRDefault="00BF196A" w:rsidP="00CC3516">
            <w:pPr>
              <w:pStyle w:val="Default"/>
              <w:spacing w:after="9"/>
              <w:jc w:val="center"/>
              <w:rPr>
                <w:color w:val="auto"/>
                <w:sz w:val="23"/>
                <w:szCs w:val="23"/>
              </w:rPr>
            </w:pPr>
            <w:r w:rsidRPr="0090383C">
              <w:rPr>
                <w:color w:val="auto"/>
                <w:sz w:val="23"/>
                <w:szCs w:val="23"/>
              </w:rPr>
              <w:t>30</w:t>
            </w:r>
          </w:p>
        </w:tc>
        <w:tc>
          <w:tcPr>
            <w:tcW w:w="992" w:type="dxa"/>
            <w:shd w:val="clear" w:color="auto" w:fill="auto"/>
          </w:tcPr>
          <w:p w:rsidR="00A81C80" w:rsidRPr="0090383C" w:rsidRDefault="00540F7F" w:rsidP="00CC3516">
            <w:pPr>
              <w:pStyle w:val="Default"/>
              <w:spacing w:after="9"/>
              <w:jc w:val="center"/>
              <w:rPr>
                <w:color w:val="auto"/>
                <w:sz w:val="23"/>
                <w:szCs w:val="23"/>
              </w:rPr>
            </w:pPr>
            <w:r w:rsidRPr="0090383C">
              <w:rPr>
                <w:color w:val="auto"/>
                <w:sz w:val="23"/>
                <w:szCs w:val="23"/>
              </w:rPr>
              <w:t>30</w:t>
            </w:r>
          </w:p>
        </w:tc>
        <w:tc>
          <w:tcPr>
            <w:tcW w:w="937" w:type="dxa"/>
            <w:shd w:val="clear" w:color="auto" w:fill="auto"/>
          </w:tcPr>
          <w:p w:rsidR="00A81C80" w:rsidRPr="0090383C" w:rsidRDefault="00BF196A" w:rsidP="00CC3516">
            <w:pPr>
              <w:pStyle w:val="Default"/>
              <w:spacing w:after="9"/>
              <w:jc w:val="center"/>
              <w:rPr>
                <w:color w:val="auto"/>
                <w:sz w:val="23"/>
                <w:szCs w:val="23"/>
              </w:rPr>
            </w:pPr>
            <w:r w:rsidRPr="0090383C">
              <w:rPr>
                <w:color w:val="auto"/>
                <w:sz w:val="23"/>
                <w:szCs w:val="23"/>
              </w:rPr>
              <w:t>30</w:t>
            </w:r>
          </w:p>
        </w:tc>
        <w:tc>
          <w:tcPr>
            <w:tcW w:w="2005" w:type="dxa"/>
            <w:shd w:val="clear" w:color="auto" w:fill="auto"/>
          </w:tcPr>
          <w:p w:rsidR="00A81C80" w:rsidRPr="0090383C" w:rsidRDefault="00A81C80" w:rsidP="00CC3516">
            <w:pPr>
              <w:pStyle w:val="Default"/>
              <w:spacing w:after="9"/>
              <w:jc w:val="center"/>
              <w:rPr>
                <w:color w:val="auto"/>
                <w:sz w:val="23"/>
                <w:szCs w:val="23"/>
              </w:rPr>
            </w:pPr>
            <w:r w:rsidRPr="0090383C">
              <w:rPr>
                <w:color w:val="auto"/>
                <w:sz w:val="23"/>
                <w:szCs w:val="23"/>
              </w:rPr>
              <w:t>Vidaus administravimo skyrius, Informacinių ir ryšių technologijų skyrius</w:t>
            </w:r>
          </w:p>
        </w:tc>
      </w:tr>
      <w:tr w:rsidR="000F0FDE" w:rsidRPr="0090383C" w:rsidTr="00CC3516">
        <w:tc>
          <w:tcPr>
            <w:tcW w:w="4962" w:type="dxa"/>
            <w:shd w:val="clear" w:color="auto" w:fill="auto"/>
          </w:tcPr>
          <w:p w:rsidR="00A81C80" w:rsidRPr="0090383C" w:rsidRDefault="00A81C80" w:rsidP="00B414B2">
            <w:pPr>
              <w:pStyle w:val="Default"/>
              <w:spacing w:after="9"/>
              <w:rPr>
                <w:color w:val="auto"/>
                <w:sz w:val="23"/>
                <w:szCs w:val="23"/>
              </w:rPr>
            </w:pPr>
            <w:r w:rsidRPr="0090383C">
              <w:rPr>
                <w:color w:val="auto"/>
                <w:sz w:val="23"/>
                <w:szCs w:val="23"/>
              </w:rPr>
              <w:t>Gyventojų, patenkintų savivaldybės teikiamomis paslaugomis, dalis, proc.</w:t>
            </w:r>
          </w:p>
        </w:tc>
        <w:tc>
          <w:tcPr>
            <w:tcW w:w="992" w:type="dxa"/>
            <w:shd w:val="clear" w:color="auto" w:fill="auto"/>
          </w:tcPr>
          <w:p w:rsidR="00A81C80" w:rsidRPr="0090383C" w:rsidRDefault="00B6659B" w:rsidP="00CC3516">
            <w:pPr>
              <w:pStyle w:val="Default"/>
              <w:spacing w:after="9"/>
              <w:jc w:val="center"/>
              <w:rPr>
                <w:color w:val="auto"/>
                <w:sz w:val="23"/>
                <w:szCs w:val="23"/>
              </w:rPr>
            </w:pPr>
            <w:r w:rsidRPr="0090383C">
              <w:rPr>
                <w:color w:val="auto"/>
                <w:sz w:val="23"/>
                <w:szCs w:val="23"/>
              </w:rPr>
              <w:t>85</w:t>
            </w:r>
          </w:p>
        </w:tc>
        <w:tc>
          <w:tcPr>
            <w:tcW w:w="992" w:type="dxa"/>
            <w:shd w:val="clear" w:color="auto" w:fill="auto"/>
          </w:tcPr>
          <w:p w:rsidR="00A81C80" w:rsidRPr="0090383C" w:rsidRDefault="00B6659B" w:rsidP="00E647A3">
            <w:pPr>
              <w:pStyle w:val="Default"/>
              <w:spacing w:after="9"/>
              <w:jc w:val="center"/>
              <w:rPr>
                <w:color w:val="auto"/>
                <w:sz w:val="23"/>
                <w:szCs w:val="23"/>
              </w:rPr>
            </w:pPr>
            <w:r w:rsidRPr="0090383C">
              <w:rPr>
                <w:color w:val="auto"/>
                <w:sz w:val="23"/>
                <w:szCs w:val="23"/>
              </w:rPr>
              <w:t>8</w:t>
            </w:r>
            <w:r w:rsidR="00E647A3">
              <w:rPr>
                <w:color w:val="auto"/>
                <w:sz w:val="23"/>
                <w:szCs w:val="23"/>
              </w:rPr>
              <w:t>6</w:t>
            </w:r>
          </w:p>
        </w:tc>
        <w:tc>
          <w:tcPr>
            <w:tcW w:w="937" w:type="dxa"/>
            <w:shd w:val="clear" w:color="auto" w:fill="auto"/>
          </w:tcPr>
          <w:p w:rsidR="00A81C80" w:rsidRPr="0090383C" w:rsidRDefault="00B6659B" w:rsidP="00E647A3">
            <w:pPr>
              <w:pStyle w:val="Default"/>
              <w:spacing w:after="9"/>
              <w:jc w:val="center"/>
              <w:rPr>
                <w:color w:val="auto"/>
                <w:sz w:val="23"/>
                <w:szCs w:val="23"/>
              </w:rPr>
            </w:pPr>
            <w:r w:rsidRPr="0090383C">
              <w:rPr>
                <w:color w:val="auto"/>
                <w:sz w:val="23"/>
                <w:szCs w:val="23"/>
              </w:rPr>
              <w:t>8</w:t>
            </w:r>
            <w:r w:rsidR="00E647A3">
              <w:rPr>
                <w:color w:val="auto"/>
                <w:sz w:val="23"/>
                <w:szCs w:val="23"/>
              </w:rPr>
              <w:t>7</w:t>
            </w:r>
          </w:p>
        </w:tc>
        <w:tc>
          <w:tcPr>
            <w:tcW w:w="2005" w:type="dxa"/>
            <w:shd w:val="clear" w:color="auto" w:fill="auto"/>
          </w:tcPr>
          <w:p w:rsidR="00A81C80" w:rsidRPr="0090383C" w:rsidRDefault="00A81C80" w:rsidP="00CC3516">
            <w:pPr>
              <w:pStyle w:val="Default"/>
              <w:spacing w:after="9"/>
              <w:jc w:val="center"/>
              <w:rPr>
                <w:color w:val="auto"/>
                <w:sz w:val="23"/>
                <w:szCs w:val="23"/>
              </w:rPr>
            </w:pPr>
            <w:r w:rsidRPr="0090383C">
              <w:rPr>
                <w:color w:val="auto"/>
                <w:sz w:val="23"/>
                <w:szCs w:val="23"/>
              </w:rPr>
              <w:t>Vidaus administravimo skyrius</w:t>
            </w:r>
          </w:p>
        </w:tc>
      </w:tr>
      <w:tr w:rsidR="000F0FDE" w:rsidRPr="0090383C" w:rsidTr="00CC3516">
        <w:tc>
          <w:tcPr>
            <w:tcW w:w="4962" w:type="dxa"/>
            <w:shd w:val="clear" w:color="auto" w:fill="auto"/>
          </w:tcPr>
          <w:p w:rsidR="00EF499A" w:rsidRPr="0090383C" w:rsidRDefault="003341E9" w:rsidP="003341E9">
            <w:pPr>
              <w:pStyle w:val="Default"/>
              <w:spacing w:after="9"/>
              <w:rPr>
                <w:color w:val="auto"/>
                <w:sz w:val="23"/>
                <w:szCs w:val="23"/>
              </w:rPr>
            </w:pPr>
            <w:r>
              <w:rPr>
                <w:color w:val="auto"/>
                <w:sz w:val="23"/>
                <w:szCs w:val="23"/>
              </w:rPr>
              <w:t>Darnaus judumo priemonių įdiegimas</w:t>
            </w:r>
          </w:p>
        </w:tc>
        <w:tc>
          <w:tcPr>
            <w:tcW w:w="992" w:type="dxa"/>
            <w:shd w:val="clear" w:color="auto" w:fill="auto"/>
          </w:tcPr>
          <w:p w:rsidR="00EF499A" w:rsidRPr="0090383C" w:rsidRDefault="00AF75AA" w:rsidP="00CC3516">
            <w:pPr>
              <w:pStyle w:val="Default"/>
              <w:spacing w:after="9"/>
              <w:jc w:val="center"/>
              <w:rPr>
                <w:color w:val="auto"/>
                <w:sz w:val="23"/>
                <w:szCs w:val="23"/>
              </w:rPr>
            </w:pPr>
            <w:r w:rsidRPr="0090383C">
              <w:rPr>
                <w:color w:val="auto"/>
                <w:sz w:val="23"/>
                <w:szCs w:val="23"/>
              </w:rPr>
              <w:t>taip</w:t>
            </w:r>
          </w:p>
        </w:tc>
        <w:tc>
          <w:tcPr>
            <w:tcW w:w="992" w:type="dxa"/>
            <w:shd w:val="clear" w:color="auto" w:fill="auto"/>
          </w:tcPr>
          <w:p w:rsidR="00EF499A" w:rsidRPr="0090383C" w:rsidRDefault="00176808" w:rsidP="00CC3516">
            <w:pPr>
              <w:pStyle w:val="Default"/>
              <w:spacing w:after="9"/>
              <w:jc w:val="center"/>
              <w:rPr>
                <w:color w:val="auto"/>
                <w:sz w:val="23"/>
                <w:szCs w:val="23"/>
              </w:rPr>
            </w:pPr>
            <w:r w:rsidRPr="0090383C">
              <w:rPr>
                <w:color w:val="auto"/>
                <w:sz w:val="23"/>
                <w:szCs w:val="23"/>
              </w:rPr>
              <w:t>taip</w:t>
            </w:r>
          </w:p>
        </w:tc>
        <w:tc>
          <w:tcPr>
            <w:tcW w:w="937" w:type="dxa"/>
            <w:shd w:val="clear" w:color="auto" w:fill="auto"/>
          </w:tcPr>
          <w:p w:rsidR="00EF499A" w:rsidRPr="0090383C" w:rsidRDefault="00176808" w:rsidP="00CC3516">
            <w:pPr>
              <w:pStyle w:val="Default"/>
              <w:spacing w:after="9"/>
              <w:jc w:val="center"/>
              <w:rPr>
                <w:color w:val="auto"/>
                <w:sz w:val="23"/>
                <w:szCs w:val="23"/>
              </w:rPr>
            </w:pPr>
            <w:r w:rsidRPr="0090383C">
              <w:rPr>
                <w:color w:val="auto"/>
                <w:sz w:val="23"/>
                <w:szCs w:val="23"/>
              </w:rPr>
              <w:t>taip</w:t>
            </w:r>
          </w:p>
        </w:tc>
        <w:tc>
          <w:tcPr>
            <w:tcW w:w="2005" w:type="dxa"/>
            <w:shd w:val="clear" w:color="auto" w:fill="auto"/>
          </w:tcPr>
          <w:p w:rsidR="00EF499A" w:rsidRPr="0090383C" w:rsidRDefault="00176808" w:rsidP="00CC3516">
            <w:pPr>
              <w:pStyle w:val="Default"/>
              <w:spacing w:after="9"/>
              <w:jc w:val="center"/>
              <w:rPr>
                <w:color w:val="auto"/>
                <w:sz w:val="23"/>
                <w:szCs w:val="23"/>
              </w:rPr>
            </w:pPr>
            <w:r w:rsidRPr="0090383C">
              <w:rPr>
                <w:color w:val="auto"/>
                <w:sz w:val="23"/>
                <w:szCs w:val="23"/>
              </w:rPr>
              <w:t>Miesto ūkio skyrius</w:t>
            </w:r>
          </w:p>
        </w:tc>
      </w:tr>
      <w:tr w:rsidR="000F0FDE" w:rsidRPr="0090383C" w:rsidTr="00CC3516">
        <w:tc>
          <w:tcPr>
            <w:tcW w:w="9888" w:type="dxa"/>
            <w:gridSpan w:val="5"/>
            <w:shd w:val="clear" w:color="auto" w:fill="DDD9C3"/>
          </w:tcPr>
          <w:p w:rsidR="00A81C80" w:rsidRPr="0090383C" w:rsidRDefault="00A81C80" w:rsidP="00CC3516">
            <w:pPr>
              <w:pStyle w:val="Default"/>
              <w:spacing w:after="9"/>
              <w:jc w:val="center"/>
              <w:rPr>
                <w:b/>
                <w:color w:val="auto"/>
                <w:sz w:val="23"/>
                <w:szCs w:val="23"/>
              </w:rPr>
            </w:pPr>
            <w:r w:rsidRPr="0090383C">
              <w:rPr>
                <w:b/>
                <w:color w:val="auto"/>
                <w:sz w:val="23"/>
                <w:szCs w:val="23"/>
              </w:rPr>
              <w:t xml:space="preserve">02 STRATEGINIS TIKSLAS – </w:t>
            </w:r>
            <w:r w:rsidRPr="0090383C">
              <w:rPr>
                <w:b/>
                <w:color w:val="auto"/>
              </w:rPr>
              <w:t xml:space="preserve">didinti miesto konkurencingumą, sudarant palankias sąlygas </w:t>
            </w:r>
            <w:r w:rsidRPr="0090383C">
              <w:rPr>
                <w:b/>
                <w:color w:val="auto"/>
              </w:rPr>
              <w:lastRenderedPageBreak/>
              <w:t>verslui</w:t>
            </w:r>
          </w:p>
        </w:tc>
      </w:tr>
      <w:tr w:rsidR="000F0FDE" w:rsidRPr="0090383C" w:rsidTr="00CC3516">
        <w:tc>
          <w:tcPr>
            <w:tcW w:w="4962" w:type="dxa"/>
            <w:shd w:val="clear" w:color="auto" w:fill="auto"/>
          </w:tcPr>
          <w:p w:rsidR="00A81C80" w:rsidRPr="0090383C" w:rsidRDefault="00A81C80" w:rsidP="00CC3516">
            <w:pPr>
              <w:pStyle w:val="Default"/>
              <w:spacing w:after="9"/>
              <w:rPr>
                <w:color w:val="auto"/>
              </w:rPr>
            </w:pPr>
            <w:r w:rsidRPr="0090383C">
              <w:rPr>
                <w:rFonts w:ascii="Palemonas" w:eastAsia="Times New Roman" w:hAnsi="Palemonas" w:cs="Calibri"/>
                <w:color w:val="auto"/>
              </w:rPr>
              <w:lastRenderedPageBreak/>
              <w:t>Metinis užsiėmusių asmenų skaičius, žm.</w:t>
            </w:r>
          </w:p>
        </w:tc>
        <w:tc>
          <w:tcPr>
            <w:tcW w:w="992" w:type="dxa"/>
            <w:shd w:val="clear" w:color="auto" w:fill="auto"/>
          </w:tcPr>
          <w:p w:rsidR="00A81C80" w:rsidRPr="00EC6817" w:rsidRDefault="00A44D55" w:rsidP="00AB5C4D">
            <w:pPr>
              <w:pStyle w:val="Default"/>
              <w:spacing w:after="9"/>
              <w:jc w:val="center"/>
              <w:rPr>
                <w:color w:val="auto"/>
                <w:sz w:val="23"/>
                <w:szCs w:val="23"/>
              </w:rPr>
            </w:pPr>
            <w:r w:rsidRPr="00EC6817">
              <w:rPr>
                <w:color w:val="auto"/>
                <w:sz w:val="23"/>
                <w:szCs w:val="23"/>
              </w:rPr>
              <w:t>26</w:t>
            </w:r>
            <w:r w:rsidR="00A81C80" w:rsidRPr="00EC6817">
              <w:rPr>
                <w:color w:val="auto"/>
                <w:sz w:val="23"/>
                <w:szCs w:val="23"/>
              </w:rPr>
              <w:t xml:space="preserve"> </w:t>
            </w:r>
            <w:r w:rsidRPr="00EC6817">
              <w:rPr>
                <w:color w:val="auto"/>
                <w:sz w:val="23"/>
                <w:szCs w:val="23"/>
              </w:rPr>
              <w:t>50</w:t>
            </w:r>
            <w:r w:rsidR="00AB5C4D" w:rsidRPr="00EC6817">
              <w:rPr>
                <w:color w:val="auto"/>
                <w:sz w:val="23"/>
                <w:szCs w:val="23"/>
              </w:rPr>
              <w:t>0</w:t>
            </w:r>
          </w:p>
        </w:tc>
        <w:tc>
          <w:tcPr>
            <w:tcW w:w="992" w:type="dxa"/>
            <w:shd w:val="clear" w:color="auto" w:fill="auto"/>
          </w:tcPr>
          <w:p w:rsidR="00A81C80" w:rsidRPr="00EC6817" w:rsidRDefault="00A81C80" w:rsidP="00AB5C4D">
            <w:pPr>
              <w:pStyle w:val="Default"/>
              <w:spacing w:after="9"/>
              <w:jc w:val="center"/>
              <w:rPr>
                <w:color w:val="auto"/>
                <w:sz w:val="23"/>
                <w:szCs w:val="23"/>
              </w:rPr>
            </w:pPr>
            <w:r w:rsidRPr="00EC6817">
              <w:rPr>
                <w:color w:val="auto"/>
                <w:sz w:val="23"/>
                <w:szCs w:val="23"/>
              </w:rPr>
              <w:t xml:space="preserve">27 </w:t>
            </w:r>
            <w:r w:rsidR="00A44D55" w:rsidRPr="00EC6817">
              <w:rPr>
                <w:color w:val="auto"/>
                <w:sz w:val="23"/>
                <w:szCs w:val="23"/>
              </w:rPr>
              <w:t>0</w:t>
            </w:r>
            <w:r w:rsidR="00AB5C4D" w:rsidRPr="00EC6817">
              <w:rPr>
                <w:color w:val="auto"/>
                <w:sz w:val="23"/>
                <w:szCs w:val="23"/>
              </w:rPr>
              <w:t>00</w:t>
            </w:r>
          </w:p>
        </w:tc>
        <w:tc>
          <w:tcPr>
            <w:tcW w:w="937" w:type="dxa"/>
            <w:shd w:val="clear" w:color="auto" w:fill="auto"/>
          </w:tcPr>
          <w:p w:rsidR="00A81C80" w:rsidRPr="00EC6817" w:rsidRDefault="00A44D55" w:rsidP="00CC3516">
            <w:pPr>
              <w:pStyle w:val="Default"/>
              <w:spacing w:after="9"/>
              <w:jc w:val="center"/>
              <w:rPr>
                <w:color w:val="auto"/>
                <w:sz w:val="23"/>
                <w:szCs w:val="23"/>
              </w:rPr>
            </w:pPr>
            <w:r w:rsidRPr="00EC6817">
              <w:rPr>
                <w:color w:val="auto"/>
                <w:sz w:val="23"/>
                <w:szCs w:val="23"/>
              </w:rPr>
              <w:t>27 5</w:t>
            </w:r>
            <w:r w:rsidR="00A81C80" w:rsidRPr="00EC6817">
              <w:rPr>
                <w:color w:val="auto"/>
                <w:sz w:val="23"/>
                <w:szCs w:val="23"/>
              </w:rPr>
              <w:t>00</w:t>
            </w:r>
          </w:p>
        </w:tc>
        <w:tc>
          <w:tcPr>
            <w:tcW w:w="2005" w:type="dxa"/>
            <w:shd w:val="clear" w:color="auto" w:fill="auto"/>
          </w:tcPr>
          <w:p w:rsidR="00A81C80" w:rsidRPr="0090383C" w:rsidRDefault="00176808" w:rsidP="00CC3516">
            <w:pPr>
              <w:pStyle w:val="Default"/>
              <w:spacing w:after="9"/>
              <w:jc w:val="center"/>
              <w:rPr>
                <w:color w:val="auto"/>
                <w:sz w:val="23"/>
                <w:szCs w:val="23"/>
              </w:rPr>
            </w:pPr>
            <w:r w:rsidRPr="0090383C">
              <w:rPr>
                <w:color w:val="auto"/>
                <w:sz w:val="23"/>
                <w:szCs w:val="23"/>
              </w:rPr>
              <w:t>Turto valdymo ir verslo skyrius</w:t>
            </w:r>
          </w:p>
        </w:tc>
      </w:tr>
      <w:tr w:rsidR="000F0FDE" w:rsidRPr="0090383C" w:rsidTr="00CC3516">
        <w:tc>
          <w:tcPr>
            <w:tcW w:w="4962" w:type="dxa"/>
            <w:shd w:val="clear" w:color="auto" w:fill="auto"/>
            <w:vAlign w:val="center"/>
          </w:tcPr>
          <w:p w:rsidR="00A81C80" w:rsidRPr="0090383C" w:rsidRDefault="00A81C80" w:rsidP="00CC3516">
            <w:pPr>
              <w:rPr>
                <w:rFonts w:ascii="Palemonas" w:eastAsia="Times New Roman" w:hAnsi="Palemonas" w:cs="Calibri"/>
                <w:lang w:eastAsia="lt-LT"/>
              </w:rPr>
            </w:pPr>
            <w:r w:rsidRPr="0090383C">
              <w:rPr>
                <w:rFonts w:ascii="Palemonas" w:eastAsia="Times New Roman" w:hAnsi="Palemonas" w:cs="Calibri"/>
                <w:lang w:eastAsia="lt-LT"/>
              </w:rPr>
              <w:t>Tiesioginės užsienio investicijos, tenkančios 1 gyv., Eur</w:t>
            </w:r>
          </w:p>
        </w:tc>
        <w:tc>
          <w:tcPr>
            <w:tcW w:w="992" w:type="dxa"/>
            <w:shd w:val="clear" w:color="auto" w:fill="auto"/>
          </w:tcPr>
          <w:p w:rsidR="00A81C80" w:rsidRPr="00EC6817" w:rsidRDefault="00540F7F" w:rsidP="00CC3516">
            <w:pPr>
              <w:pStyle w:val="Default"/>
              <w:spacing w:after="9"/>
              <w:jc w:val="center"/>
              <w:rPr>
                <w:color w:val="auto"/>
                <w:sz w:val="23"/>
                <w:szCs w:val="23"/>
              </w:rPr>
            </w:pPr>
            <w:r w:rsidRPr="00EC6817">
              <w:rPr>
                <w:color w:val="auto"/>
                <w:sz w:val="23"/>
                <w:szCs w:val="23"/>
              </w:rPr>
              <w:t>1</w:t>
            </w:r>
            <w:r w:rsidR="00A0539B" w:rsidRPr="00EC6817">
              <w:rPr>
                <w:color w:val="auto"/>
                <w:sz w:val="23"/>
                <w:szCs w:val="23"/>
              </w:rPr>
              <w:t xml:space="preserve"> </w:t>
            </w:r>
            <w:r w:rsidR="00A44D55" w:rsidRPr="00EC6817">
              <w:rPr>
                <w:color w:val="auto"/>
                <w:sz w:val="23"/>
                <w:szCs w:val="23"/>
              </w:rPr>
              <w:t>6</w:t>
            </w:r>
            <w:r w:rsidR="00176808" w:rsidRPr="00EC6817">
              <w:rPr>
                <w:color w:val="auto"/>
                <w:sz w:val="23"/>
                <w:szCs w:val="23"/>
              </w:rPr>
              <w:t>00</w:t>
            </w:r>
          </w:p>
        </w:tc>
        <w:tc>
          <w:tcPr>
            <w:tcW w:w="992" w:type="dxa"/>
            <w:shd w:val="clear" w:color="auto" w:fill="auto"/>
          </w:tcPr>
          <w:p w:rsidR="00A81C80" w:rsidRPr="00EC6817" w:rsidRDefault="00A44D55" w:rsidP="00FF5126">
            <w:pPr>
              <w:pStyle w:val="Default"/>
              <w:spacing w:after="9"/>
              <w:jc w:val="center"/>
              <w:rPr>
                <w:color w:val="auto"/>
                <w:sz w:val="23"/>
                <w:szCs w:val="23"/>
              </w:rPr>
            </w:pPr>
            <w:r w:rsidRPr="00EC6817">
              <w:rPr>
                <w:color w:val="auto"/>
                <w:sz w:val="23"/>
                <w:szCs w:val="23"/>
              </w:rPr>
              <w:t>1 800</w:t>
            </w:r>
          </w:p>
        </w:tc>
        <w:tc>
          <w:tcPr>
            <w:tcW w:w="937" w:type="dxa"/>
            <w:shd w:val="clear" w:color="auto" w:fill="auto"/>
          </w:tcPr>
          <w:p w:rsidR="00A81C80" w:rsidRPr="00EC6817" w:rsidRDefault="00540F7F" w:rsidP="00CC3516">
            <w:pPr>
              <w:pStyle w:val="Default"/>
              <w:spacing w:after="9"/>
              <w:jc w:val="center"/>
              <w:rPr>
                <w:color w:val="auto"/>
                <w:sz w:val="23"/>
                <w:szCs w:val="23"/>
              </w:rPr>
            </w:pPr>
            <w:r w:rsidRPr="00EC6817">
              <w:rPr>
                <w:color w:val="auto"/>
                <w:sz w:val="23"/>
                <w:szCs w:val="23"/>
              </w:rPr>
              <w:t>2</w:t>
            </w:r>
            <w:r w:rsidR="00A0539B" w:rsidRPr="00EC6817">
              <w:rPr>
                <w:color w:val="auto"/>
                <w:sz w:val="23"/>
                <w:szCs w:val="23"/>
              </w:rPr>
              <w:t xml:space="preserve"> </w:t>
            </w:r>
            <w:r w:rsidR="00A44D55" w:rsidRPr="00EC6817">
              <w:rPr>
                <w:color w:val="auto"/>
                <w:sz w:val="23"/>
                <w:szCs w:val="23"/>
              </w:rPr>
              <w:t>0</w:t>
            </w:r>
            <w:r w:rsidR="00FF5126" w:rsidRPr="00EC6817">
              <w:rPr>
                <w:color w:val="auto"/>
                <w:sz w:val="23"/>
                <w:szCs w:val="23"/>
              </w:rPr>
              <w:t>00</w:t>
            </w:r>
          </w:p>
        </w:tc>
        <w:tc>
          <w:tcPr>
            <w:tcW w:w="2005" w:type="dxa"/>
            <w:shd w:val="clear" w:color="auto" w:fill="auto"/>
          </w:tcPr>
          <w:p w:rsidR="00A81C80" w:rsidRPr="0090383C" w:rsidRDefault="00176808" w:rsidP="00CC3516">
            <w:pPr>
              <w:pStyle w:val="Default"/>
              <w:spacing w:after="9"/>
              <w:jc w:val="center"/>
              <w:rPr>
                <w:color w:val="auto"/>
                <w:sz w:val="23"/>
                <w:szCs w:val="23"/>
              </w:rPr>
            </w:pPr>
            <w:r w:rsidRPr="0090383C">
              <w:rPr>
                <w:color w:val="auto"/>
                <w:sz w:val="23"/>
                <w:szCs w:val="23"/>
              </w:rPr>
              <w:t>Turto valdymo ir verslo skyrius</w:t>
            </w:r>
          </w:p>
        </w:tc>
      </w:tr>
      <w:tr w:rsidR="000F0FDE" w:rsidRPr="0090383C" w:rsidTr="00CC3516">
        <w:tc>
          <w:tcPr>
            <w:tcW w:w="4962" w:type="dxa"/>
            <w:shd w:val="clear" w:color="auto" w:fill="auto"/>
          </w:tcPr>
          <w:p w:rsidR="00A81C80" w:rsidRPr="0090383C" w:rsidRDefault="00A81C80" w:rsidP="00CC3516">
            <w:pPr>
              <w:pStyle w:val="Default"/>
              <w:spacing w:after="9"/>
              <w:rPr>
                <w:color w:val="auto"/>
                <w:sz w:val="23"/>
                <w:szCs w:val="23"/>
              </w:rPr>
            </w:pPr>
            <w:r w:rsidRPr="0090383C">
              <w:rPr>
                <w:color w:val="auto"/>
                <w:sz w:val="23"/>
                <w:szCs w:val="23"/>
              </w:rPr>
              <w:t>Veikiančių ūkio subjektų padidėjimas, proc.</w:t>
            </w:r>
          </w:p>
        </w:tc>
        <w:tc>
          <w:tcPr>
            <w:tcW w:w="992" w:type="dxa"/>
            <w:shd w:val="clear" w:color="auto" w:fill="auto"/>
          </w:tcPr>
          <w:p w:rsidR="00A81C80" w:rsidRPr="00EC6817" w:rsidRDefault="00C857F3" w:rsidP="00CC3516">
            <w:pPr>
              <w:pStyle w:val="Default"/>
              <w:spacing w:after="9"/>
              <w:jc w:val="center"/>
              <w:rPr>
                <w:color w:val="auto"/>
                <w:sz w:val="23"/>
                <w:szCs w:val="23"/>
              </w:rPr>
            </w:pPr>
            <w:r>
              <w:rPr>
                <w:color w:val="auto"/>
                <w:sz w:val="23"/>
                <w:szCs w:val="23"/>
              </w:rPr>
              <w:t>0,5</w:t>
            </w:r>
          </w:p>
        </w:tc>
        <w:tc>
          <w:tcPr>
            <w:tcW w:w="992" w:type="dxa"/>
            <w:shd w:val="clear" w:color="auto" w:fill="auto"/>
          </w:tcPr>
          <w:p w:rsidR="00A81C80" w:rsidRPr="00EC6817" w:rsidRDefault="00C857F3" w:rsidP="00522FAF">
            <w:pPr>
              <w:pStyle w:val="Default"/>
              <w:spacing w:after="9"/>
              <w:jc w:val="center"/>
              <w:rPr>
                <w:color w:val="auto"/>
                <w:sz w:val="23"/>
                <w:szCs w:val="23"/>
              </w:rPr>
            </w:pPr>
            <w:r>
              <w:rPr>
                <w:color w:val="auto"/>
                <w:sz w:val="23"/>
                <w:szCs w:val="23"/>
              </w:rPr>
              <w:t>0,5</w:t>
            </w:r>
          </w:p>
        </w:tc>
        <w:tc>
          <w:tcPr>
            <w:tcW w:w="937" w:type="dxa"/>
            <w:shd w:val="clear" w:color="auto" w:fill="auto"/>
          </w:tcPr>
          <w:p w:rsidR="00A81C80" w:rsidRPr="00EC6817" w:rsidRDefault="00C857F3" w:rsidP="00CC3516">
            <w:pPr>
              <w:pStyle w:val="Default"/>
              <w:spacing w:after="9"/>
              <w:jc w:val="center"/>
              <w:rPr>
                <w:color w:val="auto"/>
                <w:sz w:val="23"/>
                <w:szCs w:val="23"/>
              </w:rPr>
            </w:pPr>
            <w:r>
              <w:rPr>
                <w:color w:val="auto"/>
                <w:sz w:val="23"/>
                <w:szCs w:val="23"/>
              </w:rPr>
              <w:t>0,5</w:t>
            </w:r>
          </w:p>
        </w:tc>
        <w:tc>
          <w:tcPr>
            <w:tcW w:w="2005" w:type="dxa"/>
            <w:shd w:val="clear" w:color="auto" w:fill="auto"/>
          </w:tcPr>
          <w:p w:rsidR="00A81C80" w:rsidRPr="0090383C" w:rsidRDefault="00176808" w:rsidP="00CC3516">
            <w:pPr>
              <w:pStyle w:val="Default"/>
              <w:spacing w:after="9"/>
              <w:jc w:val="center"/>
              <w:rPr>
                <w:color w:val="auto"/>
                <w:sz w:val="23"/>
                <w:szCs w:val="23"/>
              </w:rPr>
            </w:pPr>
            <w:r w:rsidRPr="0090383C">
              <w:rPr>
                <w:color w:val="auto"/>
                <w:sz w:val="23"/>
                <w:szCs w:val="23"/>
              </w:rPr>
              <w:t>Turto valdymo ir verslo skyrius</w:t>
            </w:r>
          </w:p>
        </w:tc>
      </w:tr>
      <w:tr w:rsidR="000F0FDE" w:rsidRPr="0090383C" w:rsidTr="00CC3516">
        <w:tc>
          <w:tcPr>
            <w:tcW w:w="4962" w:type="dxa"/>
            <w:shd w:val="clear" w:color="auto" w:fill="auto"/>
          </w:tcPr>
          <w:p w:rsidR="00A81C80" w:rsidRPr="0090383C" w:rsidRDefault="00A81C80" w:rsidP="00CC3516">
            <w:pPr>
              <w:pStyle w:val="Default"/>
              <w:spacing w:after="9"/>
              <w:rPr>
                <w:color w:val="auto"/>
                <w:sz w:val="23"/>
                <w:szCs w:val="23"/>
              </w:rPr>
            </w:pPr>
            <w:r w:rsidRPr="0090383C">
              <w:rPr>
                <w:color w:val="auto"/>
                <w:sz w:val="23"/>
                <w:szCs w:val="23"/>
              </w:rPr>
              <w:t>Investuotojų pramonės parke padidėjimas, proc.</w:t>
            </w:r>
          </w:p>
        </w:tc>
        <w:tc>
          <w:tcPr>
            <w:tcW w:w="992" w:type="dxa"/>
            <w:shd w:val="clear" w:color="auto" w:fill="auto"/>
          </w:tcPr>
          <w:p w:rsidR="00A81C80" w:rsidRPr="00EC6817" w:rsidRDefault="00C857F3" w:rsidP="00CC3516">
            <w:pPr>
              <w:pStyle w:val="Default"/>
              <w:spacing w:after="9"/>
              <w:jc w:val="center"/>
              <w:rPr>
                <w:color w:val="auto"/>
                <w:sz w:val="23"/>
                <w:szCs w:val="23"/>
              </w:rPr>
            </w:pPr>
            <w:r>
              <w:rPr>
                <w:color w:val="auto"/>
                <w:sz w:val="23"/>
                <w:szCs w:val="23"/>
              </w:rPr>
              <w:t>15</w:t>
            </w:r>
          </w:p>
        </w:tc>
        <w:tc>
          <w:tcPr>
            <w:tcW w:w="992" w:type="dxa"/>
            <w:shd w:val="clear" w:color="auto" w:fill="auto"/>
          </w:tcPr>
          <w:p w:rsidR="00A81C80" w:rsidRPr="00EC6817" w:rsidRDefault="00C857F3" w:rsidP="00522FAF">
            <w:pPr>
              <w:pStyle w:val="Default"/>
              <w:spacing w:after="9"/>
              <w:jc w:val="center"/>
              <w:rPr>
                <w:color w:val="auto"/>
                <w:sz w:val="23"/>
                <w:szCs w:val="23"/>
              </w:rPr>
            </w:pPr>
            <w:r>
              <w:rPr>
                <w:color w:val="auto"/>
                <w:sz w:val="23"/>
                <w:szCs w:val="23"/>
              </w:rPr>
              <w:t>15</w:t>
            </w:r>
          </w:p>
        </w:tc>
        <w:tc>
          <w:tcPr>
            <w:tcW w:w="937" w:type="dxa"/>
            <w:shd w:val="clear" w:color="auto" w:fill="auto"/>
          </w:tcPr>
          <w:p w:rsidR="00A81C80" w:rsidRPr="00EC6817" w:rsidRDefault="002A44AA" w:rsidP="00CC3516">
            <w:pPr>
              <w:pStyle w:val="Default"/>
              <w:spacing w:after="9"/>
              <w:jc w:val="center"/>
              <w:rPr>
                <w:color w:val="auto"/>
                <w:sz w:val="23"/>
                <w:szCs w:val="23"/>
              </w:rPr>
            </w:pPr>
            <w:r>
              <w:rPr>
                <w:color w:val="auto"/>
                <w:sz w:val="23"/>
                <w:szCs w:val="23"/>
              </w:rPr>
              <w:t>15</w:t>
            </w:r>
          </w:p>
        </w:tc>
        <w:tc>
          <w:tcPr>
            <w:tcW w:w="2005" w:type="dxa"/>
            <w:shd w:val="clear" w:color="auto" w:fill="auto"/>
          </w:tcPr>
          <w:p w:rsidR="00A81C80" w:rsidRPr="0090383C" w:rsidRDefault="00176808" w:rsidP="00CC3516">
            <w:pPr>
              <w:pStyle w:val="Default"/>
              <w:spacing w:after="9"/>
              <w:jc w:val="center"/>
              <w:rPr>
                <w:color w:val="auto"/>
                <w:sz w:val="23"/>
                <w:szCs w:val="23"/>
              </w:rPr>
            </w:pPr>
            <w:r w:rsidRPr="0090383C">
              <w:rPr>
                <w:color w:val="auto"/>
                <w:sz w:val="23"/>
                <w:szCs w:val="23"/>
              </w:rPr>
              <w:t>Turto valdymo ir verslo skyrius</w:t>
            </w:r>
          </w:p>
        </w:tc>
      </w:tr>
      <w:tr w:rsidR="000F0FDE" w:rsidRPr="0090383C" w:rsidTr="00CC3516">
        <w:tc>
          <w:tcPr>
            <w:tcW w:w="9888" w:type="dxa"/>
            <w:gridSpan w:val="5"/>
            <w:shd w:val="clear" w:color="auto" w:fill="DDD9C3"/>
          </w:tcPr>
          <w:p w:rsidR="00A81C80" w:rsidRPr="0090383C" w:rsidRDefault="00A81C80" w:rsidP="00CC3516">
            <w:pPr>
              <w:pStyle w:val="Default"/>
              <w:tabs>
                <w:tab w:val="center" w:pos="4836"/>
              </w:tabs>
              <w:spacing w:after="9"/>
              <w:rPr>
                <w:color w:val="auto"/>
                <w:sz w:val="23"/>
                <w:szCs w:val="23"/>
              </w:rPr>
            </w:pPr>
            <w:r w:rsidRPr="0090383C">
              <w:rPr>
                <w:color w:val="auto"/>
                <w:sz w:val="23"/>
                <w:szCs w:val="23"/>
              </w:rPr>
              <w:t xml:space="preserve">03 STRATEGINIS TIKSLAS – </w:t>
            </w:r>
            <w:r w:rsidRPr="0090383C">
              <w:rPr>
                <w:b/>
                <w:bCs/>
                <w:color w:val="auto"/>
                <w:sz w:val="23"/>
                <w:szCs w:val="23"/>
              </w:rPr>
              <w:t>kurti patrauklią, švarią ir saugią miesto gyvenamąją aplinką</w:t>
            </w:r>
          </w:p>
        </w:tc>
      </w:tr>
      <w:tr w:rsidR="000F0FDE" w:rsidRPr="0090383C" w:rsidTr="00CC3516">
        <w:tc>
          <w:tcPr>
            <w:tcW w:w="4962" w:type="dxa"/>
            <w:shd w:val="clear" w:color="auto" w:fill="auto"/>
          </w:tcPr>
          <w:p w:rsidR="00A81C80" w:rsidRPr="0090383C" w:rsidRDefault="00372751" w:rsidP="00CC3516">
            <w:pPr>
              <w:pStyle w:val="Default"/>
              <w:spacing w:after="9"/>
              <w:rPr>
                <w:color w:val="FF0000"/>
                <w:sz w:val="23"/>
                <w:szCs w:val="23"/>
              </w:rPr>
            </w:pPr>
            <w:r w:rsidRPr="00372751">
              <w:rPr>
                <w:color w:val="auto"/>
                <w:sz w:val="23"/>
                <w:szCs w:val="23"/>
              </w:rPr>
              <w:t>Renovuotų daugiabučių namų dalis nuo bendro daugiabučių namų skaičiaus</w:t>
            </w:r>
            <w:r>
              <w:rPr>
                <w:color w:val="auto"/>
                <w:sz w:val="23"/>
                <w:szCs w:val="23"/>
              </w:rPr>
              <w:t>, proc.</w:t>
            </w:r>
          </w:p>
        </w:tc>
        <w:tc>
          <w:tcPr>
            <w:tcW w:w="992" w:type="dxa"/>
            <w:shd w:val="clear" w:color="auto" w:fill="auto"/>
          </w:tcPr>
          <w:p w:rsidR="00A81C80" w:rsidRPr="00EC6817" w:rsidRDefault="00372751" w:rsidP="00CC3516">
            <w:pPr>
              <w:pStyle w:val="Default"/>
              <w:spacing w:after="9"/>
              <w:jc w:val="center"/>
              <w:rPr>
                <w:color w:val="auto"/>
                <w:sz w:val="23"/>
                <w:szCs w:val="23"/>
              </w:rPr>
            </w:pPr>
            <w:r>
              <w:rPr>
                <w:color w:val="auto"/>
                <w:sz w:val="23"/>
                <w:szCs w:val="23"/>
              </w:rPr>
              <w:t>14</w:t>
            </w:r>
          </w:p>
        </w:tc>
        <w:tc>
          <w:tcPr>
            <w:tcW w:w="992" w:type="dxa"/>
            <w:shd w:val="clear" w:color="auto" w:fill="auto"/>
          </w:tcPr>
          <w:p w:rsidR="00A81C80" w:rsidRPr="00EC6817" w:rsidRDefault="00372751" w:rsidP="00522FAF">
            <w:pPr>
              <w:pStyle w:val="Default"/>
              <w:spacing w:after="9"/>
              <w:jc w:val="center"/>
              <w:rPr>
                <w:color w:val="auto"/>
                <w:sz w:val="23"/>
                <w:szCs w:val="23"/>
              </w:rPr>
            </w:pPr>
            <w:r>
              <w:rPr>
                <w:color w:val="auto"/>
                <w:sz w:val="23"/>
                <w:szCs w:val="23"/>
              </w:rPr>
              <w:t>15</w:t>
            </w:r>
          </w:p>
        </w:tc>
        <w:tc>
          <w:tcPr>
            <w:tcW w:w="937" w:type="dxa"/>
            <w:shd w:val="clear" w:color="auto" w:fill="auto"/>
          </w:tcPr>
          <w:p w:rsidR="00A81C80" w:rsidRPr="00EC6817" w:rsidRDefault="00372751" w:rsidP="00CC3516">
            <w:pPr>
              <w:pStyle w:val="Default"/>
              <w:spacing w:after="9"/>
              <w:jc w:val="center"/>
              <w:rPr>
                <w:color w:val="auto"/>
                <w:sz w:val="23"/>
                <w:szCs w:val="23"/>
              </w:rPr>
            </w:pPr>
            <w:r>
              <w:rPr>
                <w:color w:val="auto"/>
                <w:sz w:val="23"/>
                <w:szCs w:val="23"/>
              </w:rPr>
              <w:t>16</w:t>
            </w:r>
          </w:p>
        </w:tc>
        <w:tc>
          <w:tcPr>
            <w:tcW w:w="2005" w:type="dxa"/>
            <w:shd w:val="clear" w:color="auto" w:fill="auto"/>
          </w:tcPr>
          <w:p w:rsidR="00A81C80" w:rsidRPr="0090383C" w:rsidRDefault="00A81C80" w:rsidP="00CC3516">
            <w:pPr>
              <w:pStyle w:val="Default"/>
              <w:spacing w:after="9"/>
              <w:jc w:val="center"/>
              <w:rPr>
                <w:color w:val="auto"/>
                <w:sz w:val="23"/>
                <w:szCs w:val="23"/>
              </w:rPr>
            </w:pPr>
            <w:r w:rsidRPr="0090383C">
              <w:rPr>
                <w:color w:val="auto"/>
                <w:sz w:val="23"/>
                <w:szCs w:val="23"/>
              </w:rPr>
              <w:t>Miesto ūkio skyrius</w:t>
            </w:r>
          </w:p>
        </w:tc>
      </w:tr>
      <w:tr w:rsidR="000F0FDE" w:rsidRPr="0090383C" w:rsidTr="00CC3516">
        <w:tc>
          <w:tcPr>
            <w:tcW w:w="4962" w:type="dxa"/>
            <w:shd w:val="clear" w:color="auto" w:fill="auto"/>
          </w:tcPr>
          <w:p w:rsidR="00A81C80" w:rsidRPr="0090383C" w:rsidRDefault="00A81C80" w:rsidP="00CC3516">
            <w:pPr>
              <w:pStyle w:val="Default"/>
              <w:spacing w:after="9"/>
              <w:rPr>
                <w:color w:val="FF0000"/>
                <w:sz w:val="23"/>
                <w:szCs w:val="23"/>
              </w:rPr>
            </w:pPr>
            <w:r w:rsidRPr="0090383C">
              <w:rPr>
                <w:color w:val="auto"/>
                <w:sz w:val="23"/>
                <w:szCs w:val="23"/>
              </w:rPr>
              <w:t>Dviračių ir pėsčiųjų takų ilgis, km</w:t>
            </w:r>
          </w:p>
        </w:tc>
        <w:tc>
          <w:tcPr>
            <w:tcW w:w="992" w:type="dxa"/>
            <w:shd w:val="clear" w:color="auto" w:fill="auto"/>
          </w:tcPr>
          <w:p w:rsidR="00A81C80" w:rsidRPr="00EC6817" w:rsidRDefault="00A44D55" w:rsidP="00CC3516">
            <w:pPr>
              <w:pStyle w:val="Default"/>
              <w:spacing w:after="9"/>
              <w:jc w:val="center"/>
              <w:rPr>
                <w:color w:val="auto"/>
                <w:sz w:val="23"/>
                <w:szCs w:val="23"/>
              </w:rPr>
            </w:pPr>
            <w:r w:rsidRPr="00EC6817">
              <w:rPr>
                <w:color w:val="auto"/>
                <w:sz w:val="23"/>
                <w:szCs w:val="23"/>
              </w:rPr>
              <w:t>31,8</w:t>
            </w:r>
          </w:p>
        </w:tc>
        <w:tc>
          <w:tcPr>
            <w:tcW w:w="992" w:type="dxa"/>
            <w:shd w:val="clear" w:color="auto" w:fill="auto"/>
          </w:tcPr>
          <w:p w:rsidR="00A81C80" w:rsidRPr="00EC6817" w:rsidRDefault="00966CE9" w:rsidP="00CC3516">
            <w:pPr>
              <w:pStyle w:val="Default"/>
              <w:spacing w:after="9"/>
              <w:jc w:val="center"/>
              <w:rPr>
                <w:color w:val="auto"/>
                <w:sz w:val="23"/>
                <w:szCs w:val="23"/>
              </w:rPr>
            </w:pPr>
            <w:r w:rsidRPr="00EC6817">
              <w:rPr>
                <w:color w:val="auto"/>
                <w:sz w:val="23"/>
                <w:szCs w:val="23"/>
              </w:rPr>
              <w:t>33,5</w:t>
            </w:r>
          </w:p>
        </w:tc>
        <w:tc>
          <w:tcPr>
            <w:tcW w:w="937" w:type="dxa"/>
            <w:shd w:val="clear" w:color="auto" w:fill="auto"/>
          </w:tcPr>
          <w:p w:rsidR="00A81C80" w:rsidRPr="00EC6817" w:rsidRDefault="00966CE9" w:rsidP="00CC3516">
            <w:pPr>
              <w:pStyle w:val="Default"/>
              <w:spacing w:after="9"/>
              <w:jc w:val="center"/>
              <w:rPr>
                <w:color w:val="auto"/>
                <w:sz w:val="23"/>
                <w:szCs w:val="23"/>
              </w:rPr>
            </w:pPr>
            <w:r w:rsidRPr="00EC6817">
              <w:rPr>
                <w:color w:val="auto"/>
                <w:sz w:val="23"/>
                <w:szCs w:val="23"/>
              </w:rPr>
              <w:t>36,0</w:t>
            </w:r>
          </w:p>
        </w:tc>
        <w:tc>
          <w:tcPr>
            <w:tcW w:w="2005" w:type="dxa"/>
            <w:shd w:val="clear" w:color="auto" w:fill="auto"/>
          </w:tcPr>
          <w:p w:rsidR="00A81C80" w:rsidRPr="0090383C" w:rsidRDefault="00A81C80" w:rsidP="00CC3516">
            <w:pPr>
              <w:pStyle w:val="Default"/>
              <w:spacing w:after="9"/>
              <w:jc w:val="center"/>
              <w:rPr>
                <w:color w:val="auto"/>
                <w:sz w:val="23"/>
                <w:szCs w:val="23"/>
              </w:rPr>
            </w:pPr>
            <w:r w:rsidRPr="0090383C">
              <w:rPr>
                <w:color w:val="auto"/>
                <w:sz w:val="23"/>
                <w:szCs w:val="23"/>
              </w:rPr>
              <w:t>Statybos skyrius</w:t>
            </w:r>
          </w:p>
        </w:tc>
      </w:tr>
      <w:tr w:rsidR="000F0FDE" w:rsidRPr="0090383C" w:rsidTr="00CC3516">
        <w:tc>
          <w:tcPr>
            <w:tcW w:w="4962" w:type="dxa"/>
            <w:shd w:val="clear" w:color="auto" w:fill="auto"/>
          </w:tcPr>
          <w:p w:rsidR="00A81C80" w:rsidRPr="0090383C" w:rsidRDefault="00A81C80" w:rsidP="00CC3516">
            <w:pPr>
              <w:pStyle w:val="Default"/>
              <w:spacing w:after="9"/>
              <w:rPr>
                <w:color w:val="auto"/>
                <w:sz w:val="23"/>
                <w:szCs w:val="23"/>
              </w:rPr>
            </w:pPr>
            <w:r w:rsidRPr="0090383C">
              <w:rPr>
                <w:bCs/>
                <w:color w:val="auto"/>
              </w:rPr>
              <w:t>Kelių su asfalto danga dalis nuo viso vietinės reikšmės kelių ilgio mieste, proc.</w:t>
            </w:r>
          </w:p>
        </w:tc>
        <w:tc>
          <w:tcPr>
            <w:tcW w:w="992" w:type="dxa"/>
            <w:shd w:val="clear" w:color="auto" w:fill="auto"/>
          </w:tcPr>
          <w:p w:rsidR="00A81C80" w:rsidRPr="00EC6817" w:rsidRDefault="00C11FD6" w:rsidP="00522FAF">
            <w:pPr>
              <w:pStyle w:val="Default"/>
              <w:spacing w:after="9"/>
              <w:jc w:val="center"/>
              <w:rPr>
                <w:color w:val="auto"/>
                <w:sz w:val="23"/>
                <w:szCs w:val="23"/>
              </w:rPr>
            </w:pPr>
            <w:r w:rsidRPr="00EC6817">
              <w:rPr>
                <w:color w:val="auto"/>
                <w:sz w:val="23"/>
                <w:szCs w:val="23"/>
              </w:rPr>
              <w:t>79</w:t>
            </w:r>
          </w:p>
        </w:tc>
        <w:tc>
          <w:tcPr>
            <w:tcW w:w="992" w:type="dxa"/>
            <w:shd w:val="clear" w:color="auto" w:fill="auto"/>
          </w:tcPr>
          <w:p w:rsidR="00A81C80" w:rsidRPr="00EC6817" w:rsidRDefault="00C11FD6" w:rsidP="00522FAF">
            <w:pPr>
              <w:pStyle w:val="Default"/>
              <w:spacing w:after="9"/>
              <w:jc w:val="center"/>
              <w:rPr>
                <w:color w:val="auto"/>
                <w:sz w:val="23"/>
                <w:szCs w:val="23"/>
              </w:rPr>
            </w:pPr>
            <w:r w:rsidRPr="00EC6817">
              <w:rPr>
                <w:color w:val="auto"/>
                <w:sz w:val="23"/>
                <w:szCs w:val="23"/>
              </w:rPr>
              <w:t>81</w:t>
            </w:r>
          </w:p>
        </w:tc>
        <w:tc>
          <w:tcPr>
            <w:tcW w:w="937" w:type="dxa"/>
            <w:shd w:val="clear" w:color="auto" w:fill="auto"/>
          </w:tcPr>
          <w:p w:rsidR="00A81C80" w:rsidRPr="00EC6817" w:rsidRDefault="00C11FD6" w:rsidP="00522FAF">
            <w:pPr>
              <w:pStyle w:val="Default"/>
              <w:spacing w:after="9"/>
              <w:jc w:val="center"/>
              <w:rPr>
                <w:color w:val="auto"/>
                <w:sz w:val="23"/>
                <w:szCs w:val="23"/>
              </w:rPr>
            </w:pPr>
            <w:r w:rsidRPr="00EC6817">
              <w:rPr>
                <w:color w:val="auto"/>
                <w:sz w:val="23"/>
                <w:szCs w:val="23"/>
              </w:rPr>
              <w:t>82</w:t>
            </w:r>
          </w:p>
        </w:tc>
        <w:tc>
          <w:tcPr>
            <w:tcW w:w="2005" w:type="dxa"/>
            <w:shd w:val="clear" w:color="auto" w:fill="auto"/>
          </w:tcPr>
          <w:p w:rsidR="00A81C80" w:rsidRPr="0090383C" w:rsidRDefault="00A81C80" w:rsidP="00CC3516">
            <w:pPr>
              <w:pStyle w:val="Default"/>
              <w:spacing w:after="9"/>
              <w:jc w:val="center"/>
              <w:rPr>
                <w:color w:val="auto"/>
                <w:sz w:val="23"/>
                <w:szCs w:val="23"/>
              </w:rPr>
            </w:pPr>
            <w:r w:rsidRPr="0090383C">
              <w:rPr>
                <w:color w:val="auto"/>
                <w:sz w:val="23"/>
                <w:szCs w:val="23"/>
              </w:rPr>
              <w:t>Statybos skyrius</w:t>
            </w:r>
          </w:p>
        </w:tc>
      </w:tr>
      <w:tr w:rsidR="000F0FDE" w:rsidRPr="0090383C" w:rsidTr="00CC3516">
        <w:tc>
          <w:tcPr>
            <w:tcW w:w="4962" w:type="dxa"/>
            <w:shd w:val="clear" w:color="auto" w:fill="auto"/>
          </w:tcPr>
          <w:p w:rsidR="00A81C80" w:rsidRPr="0090383C" w:rsidRDefault="00EF499A" w:rsidP="00CC3516">
            <w:pPr>
              <w:pStyle w:val="Default"/>
              <w:spacing w:after="9"/>
              <w:rPr>
                <w:color w:val="FF0000"/>
                <w:sz w:val="23"/>
                <w:szCs w:val="23"/>
              </w:rPr>
            </w:pPr>
            <w:r w:rsidRPr="0090383C">
              <w:rPr>
                <w:color w:val="auto"/>
              </w:rPr>
              <w:t>Atnaujintų perėjų skaičius, proc.</w:t>
            </w:r>
          </w:p>
        </w:tc>
        <w:tc>
          <w:tcPr>
            <w:tcW w:w="992" w:type="dxa"/>
            <w:shd w:val="clear" w:color="auto" w:fill="auto"/>
          </w:tcPr>
          <w:p w:rsidR="00A81C80" w:rsidRPr="00EC6817" w:rsidRDefault="00B6659B" w:rsidP="00CC3516">
            <w:pPr>
              <w:pStyle w:val="Default"/>
              <w:spacing w:after="9"/>
              <w:jc w:val="center"/>
              <w:rPr>
                <w:color w:val="auto"/>
                <w:sz w:val="23"/>
                <w:szCs w:val="23"/>
              </w:rPr>
            </w:pPr>
            <w:r w:rsidRPr="00EC6817">
              <w:rPr>
                <w:color w:val="auto"/>
                <w:sz w:val="23"/>
                <w:szCs w:val="23"/>
              </w:rPr>
              <w:t>95</w:t>
            </w:r>
          </w:p>
        </w:tc>
        <w:tc>
          <w:tcPr>
            <w:tcW w:w="992" w:type="dxa"/>
            <w:shd w:val="clear" w:color="auto" w:fill="auto"/>
          </w:tcPr>
          <w:p w:rsidR="00A81C80" w:rsidRPr="00EC6817" w:rsidRDefault="00E647A3" w:rsidP="00CC3516">
            <w:pPr>
              <w:pStyle w:val="Default"/>
              <w:spacing w:after="9"/>
              <w:jc w:val="center"/>
              <w:rPr>
                <w:color w:val="auto"/>
                <w:sz w:val="23"/>
                <w:szCs w:val="23"/>
              </w:rPr>
            </w:pPr>
            <w:r>
              <w:rPr>
                <w:color w:val="auto"/>
                <w:sz w:val="23"/>
                <w:szCs w:val="23"/>
              </w:rPr>
              <w:t>98</w:t>
            </w:r>
          </w:p>
        </w:tc>
        <w:tc>
          <w:tcPr>
            <w:tcW w:w="937" w:type="dxa"/>
            <w:shd w:val="clear" w:color="auto" w:fill="auto"/>
          </w:tcPr>
          <w:p w:rsidR="00A81C80" w:rsidRPr="00EC6817" w:rsidRDefault="00EF499A" w:rsidP="00CC3516">
            <w:pPr>
              <w:pStyle w:val="Default"/>
              <w:spacing w:after="9"/>
              <w:jc w:val="center"/>
              <w:rPr>
                <w:color w:val="auto"/>
                <w:sz w:val="23"/>
                <w:szCs w:val="23"/>
              </w:rPr>
            </w:pPr>
            <w:r w:rsidRPr="00EC6817">
              <w:rPr>
                <w:color w:val="auto"/>
                <w:sz w:val="23"/>
                <w:szCs w:val="23"/>
              </w:rPr>
              <w:t>100</w:t>
            </w:r>
          </w:p>
        </w:tc>
        <w:tc>
          <w:tcPr>
            <w:tcW w:w="2005" w:type="dxa"/>
            <w:shd w:val="clear" w:color="auto" w:fill="auto"/>
          </w:tcPr>
          <w:p w:rsidR="00A81C80" w:rsidRPr="0090383C" w:rsidRDefault="00A81C80" w:rsidP="00CC3516">
            <w:pPr>
              <w:pStyle w:val="Default"/>
              <w:spacing w:after="9"/>
              <w:jc w:val="center"/>
              <w:rPr>
                <w:color w:val="auto"/>
                <w:sz w:val="23"/>
                <w:szCs w:val="23"/>
              </w:rPr>
            </w:pPr>
            <w:r w:rsidRPr="0090383C">
              <w:rPr>
                <w:color w:val="auto"/>
                <w:sz w:val="23"/>
                <w:szCs w:val="23"/>
              </w:rPr>
              <w:t>Miesto ūkio skyrius</w:t>
            </w:r>
          </w:p>
        </w:tc>
      </w:tr>
    </w:tbl>
    <w:p w:rsidR="00E7572F" w:rsidRPr="0090383C" w:rsidRDefault="00E7572F"/>
    <w:sectPr w:rsidR="00E7572F" w:rsidRPr="0090383C" w:rsidSect="00CC3516">
      <w:footerReference w:type="default" r:id="rId1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F7" w:rsidRDefault="005F67F7" w:rsidP="00BB4AC4">
      <w:r>
        <w:separator/>
      </w:r>
    </w:p>
  </w:endnote>
  <w:endnote w:type="continuationSeparator" w:id="0">
    <w:p w:rsidR="005F67F7" w:rsidRDefault="005F67F7" w:rsidP="00BB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LT">
    <w:altName w:val="Times New Roman"/>
    <w:charset w:val="BA"/>
    <w:family w:val="roman"/>
    <w:pitch w:val="variable"/>
    <w:sig w:usb0="00000287" w:usb1="00000000" w:usb2="00000000" w:usb3="00000000" w:csb0="0000009F" w:csb1="00000000"/>
  </w:font>
  <w:font w:name="Palemonas">
    <w:altName w:val="Times New Roman"/>
    <w:charset w:val="BA"/>
    <w:family w:val="roman"/>
    <w:pitch w:val="variable"/>
    <w:sig w:usb0="00000001" w:usb1="1000000E" w:usb2="0000002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01839"/>
      <w:docPartObj>
        <w:docPartGallery w:val="Page Numbers (Bottom of Page)"/>
        <w:docPartUnique/>
      </w:docPartObj>
    </w:sdtPr>
    <w:sdtEndPr/>
    <w:sdtContent>
      <w:p w:rsidR="00F07884" w:rsidRDefault="00F07884">
        <w:pPr>
          <w:pStyle w:val="Porat"/>
          <w:jc w:val="right"/>
        </w:pPr>
        <w:r>
          <w:fldChar w:fldCharType="begin"/>
        </w:r>
        <w:r>
          <w:instrText>PAGE   \* MERGEFORMAT</w:instrText>
        </w:r>
        <w:r>
          <w:fldChar w:fldCharType="separate"/>
        </w:r>
        <w:r w:rsidR="00A74D0A">
          <w:rPr>
            <w:noProof/>
          </w:rPr>
          <w:t>2</w:t>
        </w:r>
        <w:r>
          <w:fldChar w:fldCharType="end"/>
        </w:r>
      </w:p>
    </w:sdtContent>
  </w:sdt>
  <w:p w:rsidR="00F07884" w:rsidRDefault="00F0788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F7" w:rsidRDefault="005F67F7" w:rsidP="00BB4AC4">
      <w:r>
        <w:separator/>
      </w:r>
    </w:p>
  </w:footnote>
  <w:footnote w:type="continuationSeparator" w:id="0">
    <w:p w:rsidR="005F67F7" w:rsidRDefault="005F67F7" w:rsidP="00BB4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C44"/>
    <w:multiLevelType w:val="hybridMultilevel"/>
    <w:tmpl w:val="25CE96B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15FF168C"/>
    <w:multiLevelType w:val="hybridMultilevel"/>
    <w:tmpl w:val="933E15A2"/>
    <w:lvl w:ilvl="0" w:tplc="20C0AB1A">
      <w:start w:val="1"/>
      <w:numFmt w:val="decimal"/>
      <w:lvlText w:val="%1."/>
      <w:lvlJc w:val="left"/>
      <w:pPr>
        <w:ind w:left="720" w:hanging="360"/>
      </w:pPr>
      <w:rPr>
        <w:rFonts w:eastAsia="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700657B"/>
    <w:multiLevelType w:val="hybridMultilevel"/>
    <w:tmpl w:val="EEEEE8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D227611"/>
    <w:multiLevelType w:val="hybridMultilevel"/>
    <w:tmpl w:val="5508AB80"/>
    <w:lvl w:ilvl="0" w:tplc="3EA6D3CE">
      <w:start w:val="1"/>
      <w:numFmt w:val="bullet"/>
      <w:lvlText w:val=""/>
      <w:lvlJc w:val="left"/>
      <w:pPr>
        <w:tabs>
          <w:tab w:val="num" w:pos="3498"/>
        </w:tabs>
        <w:ind w:left="3498" w:hanging="360"/>
      </w:pPr>
      <w:rPr>
        <w:rFonts w:ascii="Wingdings" w:hAnsi="Wingdings" w:hint="default"/>
        <w:color w:val="333399"/>
        <w:sz w:val="16"/>
        <w:szCs w:val="16"/>
      </w:rPr>
    </w:lvl>
    <w:lvl w:ilvl="1" w:tplc="04090003">
      <w:start w:val="1"/>
      <w:numFmt w:val="bullet"/>
      <w:lvlText w:val="o"/>
      <w:lvlJc w:val="left"/>
      <w:pPr>
        <w:tabs>
          <w:tab w:val="num" w:pos="3498"/>
        </w:tabs>
        <w:ind w:left="3498" w:hanging="360"/>
      </w:pPr>
      <w:rPr>
        <w:rFonts w:ascii="Courier New" w:hAnsi="Courier New" w:cs="Times New Roman" w:hint="default"/>
      </w:rPr>
    </w:lvl>
    <w:lvl w:ilvl="2" w:tplc="04090005">
      <w:start w:val="1"/>
      <w:numFmt w:val="bullet"/>
      <w:lvlText w:val=""/>
      <w:lvlJc w:val="left"/>
      <w:pPr>
        <w:tabs>
          <w:tab w:val="num" w:pos="4218"/>
        </w:tabs>
        <w:ind w:left="4218" w:hanging="360"/>
      </w:pPr>
      <w:rPr>
        <w:rFonts w:ascii="Wingdings" w:hAnsi="Wingdings" w:hint="default"/>
      </w:rPr>
    </w:lvl>
    <w:lvl w:ilvl="3" w:tplc="04090001">
      <w:start w:val="1"/>
      <w:numFmt w:val="bullet"/>
      <w:lvlText w:val=""/>
      <w:lvlJc w:val="left"/>
      <w:pPr>
        <w:tabs>
          <w:tab w:val="num" w:pos="4938"/>
        </w:tabs>
        <w:ind w:left="4938" w:hanging="360"/>
      </w:pPr>
      <w:rPr>
        <w:rFonts w:ascii="Symbol" w:hAnsi="Symbol" w:hint="default"/>
      </w:rPr>
    </w:lvl>
    <w:lvl w:ilvl="4" w:tplc="04090003">
      <w:start w:val="1"/>
      <w:numFmt w:val="bullet"/>
      <w:lvlText w:val="o"/>
      <w:lvlJc w:val="left"/>
      <w:pPr>
        <w:tabs>
          <w:tab w:val="num" w:pos="5658"/>
        </w:tabs>
        <w:ind w:left="5658" w:hanging="360"/>
      </w:pPr>
      <w:rPr>
        <w:rFonts w:ascii="Courier New" w:hAnsi="Courier New" w:cs="Times New Roman" w:hint="default"/>
      </w:rPr>
    </w:lvl>
    <w:lvl w:ilvl="5" w:tplc="04090005">
      <w:start w:val="1"/>
      <w:numFmt w:val="bullet"/>
      <w:lvlText w:val=""/>
      <w:lvlJc w:val="left"/>
      <w:pPr>
        <w:tabs>
          <w:tab w:val="num" w:pos="6378"/>
        </w:tabs>
        <w:ind w:left="6378" w:hanging="360"/>
      </w:pPr>
      <w:rPr>
        <w:rFonts w:ascii="Wingdings" w:hAnsi="Wingdings" w:hint="default"/>
      </w:rPr>
    </w:lvl>
    <w:lvl w:ilvl="6" w:tplc="04090001">
      <w:start w:val="1"/>
      <w:numFmt w:val="bullet"/>
      <w:lvlText w:val=""/>
      <w:lvlJc w:val="left"/>
      <w:pPr>
        <w:tabs>
          <w:tab w:val="num" w:pos="7098"/>
        </w:tabs>
        <w:ind w:left="7098" w:hanging="360"/>
      </w:pPr>
      <w:rPr>
        <w:rFonts w:ascii="Symbol" w:hAnsi="Symbol" w:hint="default"/>
      </w:rPr>
    </w:lvl>
    <w:lvl w:ilvl="7" w:tplc="04090003">
      <w:start w:val="1"/>
      <w:numFmt w:val="bullet"/>
      <w:lvlText w:val="o"/>
      <w:lvlJc w:val="left"/>
      <w:pPr>
        <w:tabs>
          <w:tab w:val="num" w:pos="7818"/>
        </w:tabs>
        <w:ind w:left="7818" w:hanging="360"/>
      </w:pPr>
      <w:rPr>
        <w:rFonts w:ascii="Courier New" w:hAnsi="Courier New" w:cs="Times New Roman" w:hint="default"/>
      </w:rPr>
    </w:lvl>
    <w:lvl w:ilvl="8" w:tplc="04090005">
      <w:start w:val="1"/>
      <w:numFmt w:val="bullet"/>
      <w:lvlText w:val=""/>
      <w:lvlJc w:val="left"/>
      <w:pPr>
        <w:tabs>
          <w:tab w:val="num" w:pos="8538"/>
        </w:tabs>
        <w:ind w:left="8538" w:hanging="360"/>
      </w:pPr>
      <w:rPr>
        <w:rFonts w:ascii="Wingdings" w:hAnsi="Wingdings" w:hint="default"/>
      </w:rPr>
    </w:lvl>
  </w:abstractNum>
  <w:abstractNum w:abstractNumId="4">
    <w:nsid w:val="401A62E8"/>
    <w:multiLevelType w:val="hybridMultilevel"/>
    <w:tmpl w:val="CAD4D276"/>
    <w:lvl w:ilvl="0" w:tplc="C204A094">
      <w:start w:val="1"/>
      <w:numFmt w:val="decimal"/>
      <w:lvlText w:val="%1."/>
      <w:lvlJc w:val="left"/>
      <w:pPr>
        <w:ind w:left="477" w:hanging="360"/>
      </w:pPr>
      <w:rPr>
        <w:rFonts w:hint="default"/>
        <w:sz w:val="24"/>
      </w:rPr>
    </w:lvl>
    <w:lvl w:ilvl="1" w:tplc="04270019" w:tentative="1">
      <w:start w:val="1"/>
      <w:numFmt w:val="lowerLetter"/>
      <w:lvlText w:val="%2."/>
      <w:lvlJc w:val="left"/>
      <w:pPr>
        <w:ind w:left="1197" w:hanging="360"/>
      </w:pPr>
    </w:lvl>
    <w:lvl w:ilvl="2" w:tplc="0427001B" w:tentative="1">
      <w:start w:val="1"/>
      <w:numFmt w:val="lowerRoman"/>
      <w:lvlText w:val="%3."/>
      <w:lvlJc w:val="right"/>
      <w:pPr>
        <w:ind w:left="1917" w:hanging="180"/>
      </w:pPr>
    </w:lvl>
    <w:lvl w:ilvl="3" w:tplc="0427000F" w:tentative="1">
      <w:start w:val="1"/>
      <w:numFmt w:val="decimal"/>
      <w:lvlText w:val="%4."/>
      <w:lvlJc w:val="left"/>
      <w:pPr>
        <w:ind w:left="2637" w:hanging="360"/>
      </w:pPr>
    </w:lvl>
    <w:lvl w:ilvl="4" w:tplc="04270019" w:tentative="1">
      <w:start w:val="1"/>
      <w:numFmt w:val="lowerLetter"/>
      <w:lvlText w:val="%5."/>
      <w:lvlJc w:val="left"/>
      <w:pPr>
        <w:ind w:left="3357" w:hanging="360"/>
      </w:pPr>
    </w:lvl>
    <w:lvl w:ilvl="5" w:tplc="0427001B" w:tentative="1">
      <w:start w:val="1"/>
      <w:numFmt w:val="lowerRoman"/>
      <w:lvlText w:val="%6."/>
      <w:lvlJc w:val="right"/>
      <w:pPr>
        <w:ind w:left="4077" w:hanging="180"/>
      </w:pPr>
    </w:lvl>
    <w:lvl w:ilvl="6" w:tplc="0427000F" w:tentative="1">
      <w:start w:val="1"/>
      <w:numFmt w:val="decimal"/>
      <w:lvlText w:val="%7."/>
      <w:lvlJc w:val="left"/>
      <w:pPr>
        <w:ind w:left="4797" w:hanging="360"/>
      </w:pPr>
    </w:lvl>
    <w:lvl w:ilvl="7" w:tplc="04270019" w:tentative="1">
      <w:start w:val="1"/>
      <w:numFmt w:val="lowerLetter"/>
      <w:lvlText w:val="%8."/>
      <w:lvlJc w:val="left"/>
      <w:pPr>
        <w:ind w:left="5517" w:hanging="360"/>
      </w:pPr>
    </w:lvl>
    <w:lvl w:ilvl="8" w:tplc="0427001B" w:tentative="1">
      <w:start w:val="1"/>
      <w:numFmt w:val="lowerRoman"/>
      <w:lvlText w:val="%9."/>
      <w:lvlJc w:val="right"/>
      <w:pPr>
        <w:ind w:left="6237" w:hanging="180"/>
      </w:pPr>
    </w:lvl>
  </w:abstractNum>
  <w:abstractNum w:abstractNumId="5">
    <w:nsid w:val="56D31925"/>
    <w:multiLevelType w:val="hybridMultilevel"/>
    <w:tmpl w:val="C2C0B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E187835"/>
    <w:multiLevelType w:val="hybridMultilevel"/>
    <w:tmpl w:val="D890C27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663836D9"/>
    <w:multiLevelType w:val="hybridMultilevel"/>
    <w:tmpl w:val="D1FC5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9954095"/>
    <w:multiLevelType w:val="hybridMultilevel"/>
    <w:tmpl w:val="3C644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DA46914"/>
    <w:multiLevelType w:val="hybridMultilevel"/>
    <w:tmpl w:val="C5F0332A"/>
    <w:lvl w:ilvl="0" w:tplc="4F84E062">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B2043B8"/>
    <w:multiLevelType w:val="hybridMultilevel"/>
    <w:tmpl w:val="EBD84AA6"/>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1">
    <w:nsid w:val="7ED207AD"/>
    <w:multiLevelType w:val="hybridMultilevel"/>
    <w:tmpl w:val="448AF1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9"/>
  </w:num>
  <w:num w:numId="6">
    <w:abstractNumId w:val="4"/>
  </w:num>
  <w:num w:numId="7">
    <w:abstractNumId w:val="0"/>
  </w:num>
  <w:num w:numId="8">
    <w:abstractNumId w:val="10"/>
  </w:num>
  <w:num w:numId="9">
    <w:abstractNumId w:val="11"/>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80"/>
    <w:rsid w:val="00002394"/>
    <w:rsid w:val="000029FA"/>
    <w:rsid w:val="00020147"/>
    <w:rsid w:val="000229FD"/>
    <w:rsid w:val="0002439F"/>
    <w:rsid w:val="000249EF"/>
    <w:rsid w:val="0003634D"/>
    <w:rsid w:val="00050178"/>
    <w:rsid w:val="00054F49"/>
    <w:rsid w:val="000609D7"/>
    <w:rsid w:val="00062807"/>
    <w:rsid w:val="00074315"/>
    <w:rsid w:val="00082A8F"/>
    <w:rsid w:val="000860BB"/>
    <w:rsid w:val="00094504"/>
    <w:rsid w:val="000A1861"/>
    <w:rsid w:val="000C4CF9"/>
    <w:rsid w:val="000D713F"/>
    <w:rsid w:val="000E12A5"/>
    <w:rsid w:val="000F0FDE"/>
    <w:rsid w:val="000F108F"/>
    <w:rsid w:val="000F6875"/>
    <w:rsid w:val="001062EF"/>
    <w:rsid w:val="00114F00"/>
    <w:rsid w:val="00117618"/>
    <w:rsid w:val="00117733"/>
    <w:rsid w:val="00125185"/>
    <w:rsid w:val="0012671F"/>
    <w:rsid w:val="001319B9"/>
    <w:rsid w:val="001404AA"/>
    <w:rsid w:val="0014153D"/>
    <w:rsid w:val="00144813"/>
    <w:rsid w:val="00144EAF"/>
    <w:rsid w:val="00146AA4"/>
    <w:rsid w:val="00153464"/>
    <w:rsid w:val="00154297"/>
    <w:rsid w:val="001560F6"/>
    <w:rsid w:val="001679D6"/>
    <w:rsid w:val="00170DFF"/>
    <w:rsid w:val="00172FC7"/>
    <w:rsid w:val="0017371C"/>
    <w:rsid w:val="00176808"/>
    <w:rsid w:val="001813BD"/>
    <w:rsid w:val="001831AB"/>
    <w:rsid w:val="001937CE"/>
    <w:rsid w:val="001942EF"/>
    <w:rsid w:val="001A05D1"/>
    <w:rsid w:val="001A5E55"/>
    <w:rsid w:val="001A697D"/>
    <w:rsid w:val="001A7B31"/>
    <w:rsid w:val="001B1840"/>
    <w:rsid w:val="001B3A92"/>
    <w:rsid w:val="001B477B"/>
    <w:rsid w:val="001B5C84"/>
    <w:rsid w:val="001D2C9A"/>
    <w:rsid w:val="001E2D25"/>
    <w:rsid w:val="001E5883"/>
    <w:rsid w:val="001E5D48"/>
    <w:rsid w:val="001F4A79"/>
    <w:rsid w:val="00203921"/>
    <w:rsid w:val="00207388"/>
    <w:rsid w:val="00212325"/>
    <w:rsid w:val="00222E9B"/>
    <w:rsid w:val="002356F8"/>
    <w:rsid w:val="00241C6E"/>
    <w:rsid w:val="00252174"/>
    <w:rsid w:val="002526E5"/>
    <w:rsid w:val="00270B70"/>
    <w:rsid w:val="00276A64"/>
    <w:rsid w:val="002819E4"/>
    <w:rsid w:val="00282E3B"/>
    <w:rsid w:val="00285557"/>
    <w:rsid w:val="002961F9"/>
    <w:rsid w:val="00297BDE"/>
    <w:rsid w:val="002A22CD"/>
    <w:rsid w:val="002A44AA"/>
    <w:rsid w:val="002B037E"/>
    <w:rsid w:val="002B3708"/>
    <w:rsid w:val="002B3C08"/>
    <w:rsid w:val="002C069D"/>
    <w:rsid w:val="002C66D2"/>
    <w:rsid w:val="002E25F8"/>
    <w:rsid w:val="002F2D91"/>
    <w:rsid w:val="002F64A9"/>
    <w:rsid w:val="002F692F"/>
    <w:rsid w:val="002F7228"/>
    <w:rsid w:val="00300BEA"/>
    <w:rsid w:val="003015FB"/>
    <w:rsid w:val="00315633"/>
    <w:rsid w:val="00317BA3"/>
    <w:rsid w:val="00317E63"/>
    <w:rsid w:val="003217FA"/>
    <w:rsid w:val="003228BE"/>
    <w:rsid w:val="003315C5"/>
    <w:rsid w:val="00331B63"/>
    <w:rsid w:val="00331F31"/>
    <w:rsid w:val="00332AB1"/>
    <w:rsid w:val="00332C26"/>
    <w:rsid w:val="003341E9"/>
    <w:rsid w:val="00335365"/>
    <w:rsid w:val="00344052"/>
    <w:rsid w:val="0034571F"/>
    <w:rsid w:val="00352D3C"/>
    <w:rsid w:val="00353066"/>
    <w:rsid w:val="003546F3"/>
    <w:rsid w:val="00360CCB"/>
    <w:rsid w:val="00360F32"/>
    <w:rsid w:val="0036388B"/>
    <w:rsid w:val="00372751"/>
    <w:rsid w:val="00381187"/>
    <w:rsid w:val="00383F9D"/>
    <w:rsid w:val="00392F4B"/>
    <w:rsid w:val="0039409A"/>
    <w:rsid w:val="003A06DB"/>
    <w:rsid w:val="003A09E6"/>
    <w:rsid w:val="003A1431"/>
    <w:rsid w:val="003B568B"/>
    <w:rsid w:val="003C07B8"/>
    <w:rsid w:val="003C4276"/>
    <w:rsid w:val="003C6201"/>
    <w:rsid w:val="003C66E1"/>
    <w:rsid w:val="003D7020"/>
    <w:rsid w:val="003E6A49"/>
    <w:rsid w:val="00410868"/>
    <w:rsid w:val="00413E98"/>
    <w:rsid w:val="00420A79"/>
    <w:rsid w:val="00427B89"/>
    <w:rsid w:val="00427BBC"/>
    <w:rsid w:val="00430721"/>
    <w:rsid w:val="00443417"/>
    <w:rsid w:val="004455DC"/>
    <w:rsid w:val="004533AE"/>
    <w:rsid w:val="004619BD"/>
    <w:rsid w:val="00463104"/>
    <w:rsid w:val="00464EF7"/>
    <w:rsid w:val="00465476"/>
    <w:rsid w:val="004877E7"/>
    <w:rsid w:val="00493119"/>
    <w:rsid w:val="004968ED"/>
    <w:rsid w:val="004A1034"/>
    <w:rsid w:val="004A6A4F"/>
    <w:rsid w:val="004B7AC6"/>
    <w:rsid w:val="004B7F6B"/>
    <w:rsid w:val="004C162F"/>
    <w:rsid w:val="004C3899"/>
    <w:rsid w:val="004C41DF"/>
    <w:rsid w:val="004C4A8C"/>
    <w:rsid w:val="004C5E85"/>
    <w:rsid w:val="004D338E"/>
    <w:rsid w:val="004D3A29"/>
    <w:rsid w:val="004E546A"/>
    <w:rsid w:val="004F161A"/>
    <w:rsid w:val="0050308B"/>
    <w:rsid w:val="00506674"/>
    <w:rsid w:val="00513280"/>
    <w:rsid w:val="0051414B"/>
    <w:rsid w:val="00522FAF"/>
    <w:rsid w:val="00523A65"/>
    <w:rsid w:val="00524D0F"/>
    <w:rsid w:val="005256B3"/>
    <w:rsid w:val="00527B69"/>
    <w:rsid w:val="00533DC6"/>
    <w:rsid w:val="0053683F"/>
    <w:rsid w:val="00540F7F"/>
    <w:rsid w:val="0054791D"/>
    <w:rsid w:val="005558A0"/>
    <w:rsid w:val="00556C89"/>
    <w:rsid w:val="00556E9C"/>
    <w:rsid w:val="00561A77"/>
    <w:rsid w:val="005672B0"/>
    <w:rsid w:val="00567FB3"/>
    <w:rsid w:val="0057346E"/>
    <w:rsid w:val="00582B4D"/>
    <w:rsid w:val="00585CAF"/>
    <w:rsid w:val="00592131"/>
    <w:rsid w:val="00593422"/>
    <w:rsid w:val="005A2288"/>
    <w:rsid w:val="005A56A2"/>
    <w:rsid w:val="005A5C41"/>
    <w:rsid w:val="005B731B"/>
    <w:rsid w:val="005D6C28"/>
    <w:rsid w:val="005D7253"/>
    <w:rsid w:val="005E0D8B"/>
    <w:rsid w:val="005E223E"/>
    <w:rsid w:val="005E57CE"/>
    <w:rsid w:val="005F3533"/>
    <w:rsid w:val="005F67F7"/>
    <w:rsid w:val="006015C0"/>
    <w:rsid w:val="006022C7"/>
    <w:rsid w:val="00604526"/>
    <w:rsid w:val="006221B0"/>
    <w:rsid w:val="006429EB"/>
    <w:rsid w:val="00642D6E"/>
    <w:rsid w:val="00650042"/>
    <w:rsid w:val="00653A48"/>
    <w:rsid w:val="00665BD9"/>
    <w:rsid w:val="00666531"/>
    <w:rsid w:val="00671813"/>
    <w:rsid w:val="00672C4C"/>
    <w:rsid w:val="0067476F"/>
    <w:rsid w:val="00675EBC"/>
    <w:rsid w:val="0068788E"/>
    <w:rsid w:val="006971C7"/>
    <w:rsid w:val="006A7784"/>
    <w:rsid w:val="006B18E0"/>
    <w:rsid w:val="006B6506"/>
    <w:rsid w:val="006B65A0"/>
    <w:rsid w:val="006C050B"/>
    <w:rsid w:val="006C6328"/>
    <w:rsid w:val="006D41C5"/>
    <w:rsid w:val="006F36C9"/>
    <w:rsid w:val="006F3B4A"/>
    <w:rsid w:val="006F57D3"/>
    <w:rsid w:val="0070019F"/>
    <w:rsid w:val="00703A54"/>
    <w:rsid w:val="00705AE5"/>
    <w:rsid w:val="00707DD7"/>
    <w:rsid w:val="007165D6"/>
    <w:rsid w:val="00717163"/>
    <w:rsid w:val="007226A6"/>
    <w:rsid w:val="00724483"/>
    <w:rsid w:val="0073411D"/>
    <w:rsid w:val="00742C9D"/>
    <w:rsid w:val="00757154"/>
    <w:rsid w:val="0076558B"/>
    <w:rsid w:val="007854EE"/>
    <w:rsid w:val="007B1789"/>
    <w:rsid w:val="007B3281"/>
    <w:rsid w:val="007B3A74"/>
    <w:rsid w:val="007B74E3"/>
    <w:rsid w:val="007C23C8"/>
    <w:rsid w:val="007C288E"/>
    <w:rsid w:val="007F67A1"/>
    <w:rsid w:val="008022FA"/>
    <w:rsid w:val="00826A9D"/>
    <w:rsid w:val="008310BC"/>
    <w:rsid w:val="008367F7"/>
    <w:rsid w:val="00836E06"/>
    <w:rsid w:val="00844AE7"/>
    <w:rsid w:val="00863E50"/>
    <w:rsid w:val="008640A3"/>
    <w:rsid w:val="00864891"/>
    <w:rsid w:val="00865C3F"/>
    <w:rsid w:val="00866E36"/>
    <w:rsid w:val="00867E3F"/>
    <w:rsid w:val="00882B80"/>
    <w:rsid w:val="00882EDE"/>
    <w:rsid w:val="00885CA6"/>
    <w:rsid w:val="008876AD"/>
    <w:rsid w:val="00891739"/>
    <w:rsid w:val="00892B83"/>
    <w:rsid w:val="008A6939"/>
    <w:rsid w:val="008B2649"/>
    <w:rsid w:val="008B4C83"/>
    <w:rsid w:val="008C3651"/>
    <w:rsid w:val="008C407A"/>
    <w:rsid w:val="008D42D0"/>
    <w:rsid w:val="008D4387"/>
    <w:rsid w:val="008D771D"/>
    <w:rsid w:val="008E082B"/>
    <w:rsid w:val="008F3918"/>
    <w:rsid w:val="0090383C"/>
    <w:rsid w:val="00906339"/>
    <w:rsid w:val="0093219C"/>
    <w:rsid w:val="00933AD9"/>
    <w:rsid w:val="00935DEB"/>
    <w:rsid w:val="009402C1"/>
    <w:rsid w:val="00941FF5"/>
    <w:rsid w:val="00942055"/>
    <w:rsid w:val="0095234B"/>
    <w:rsid w:val="0095336D"/>
    <w:rsid w:val="00955A96"/>
    <w:rsid w:val="00955B5C"/>
    <w:rsid w:val="00956544"/>
    <w:rsid w:val="00965C39"/>
    <w:rsid w:val="00966CE9"/>
    <w:rsid w:val="00966FC0"/>
    <w:rsid w:val="0096734A"/>
    <w:rsid w:val="00973A2C"/>
    <w:rsid w:val="009746AC"/>
    <w:rsid w:val="009805BD"/>
    <w:rsid w:val="00981EDB"/>
    <w:rsid w:val="00993F82"/>
    <w:rsid w:val="009962D5"/>
    <w:rsid w:val="009B0146"/>
    <w:rsid w:val="009B37C7"/>
    <w:rsid w:val="009B37E3"/>
    <w:rsid w:val="009B3DC6"/>
    <w:rsid w:val="009C1085"/>
    <w:rsid w:val="009C5EBA"/>
    <w:rsid w:val="009D3802"/>
    <w:rsid w:val="009D6659"/>
    <w:rsid w:val="009E4BE8"/>
    <w:rsid w:val="009E50BD"/>
    <w:rsid w:val="00A01F3A"/>
    <w:rsid w:val="00A0539B"/>
    <w:rsid w:val="00A058D9"/>
    <w:rsid w:val="00A11AED"/>
    <w:rsid w:val="00A2117A"/>
    <w:rsid w:val="00A21B34"/>
    <w:rsid w:val="00A2375D"/>
    <w:rsid w:val="00A24948"/>
    <w:rsid w:val="00A27357"/>
    <w:rsid w:val="00A317A3"/>
    <w:rsid w:val="00A31A0C"/>
    <w:rsid w:val="00A37020"/>
    <w:rsid w:val="00A43C82"/>
    <w:rsid w:val="00A44D55"/>
    <w:rsid w:val="00A46936"/>
    <w:rsid w:val="00A4767E"/>
    <w:rsid w:val="00A60174"/>
    <w:rsid w:val="00A610EB"/>
    <w:rsid w:val="00A6303F"/>
    <w:rsid w:val="00A636AB"/>
    <w:rsid w:val="00A63AC5"/>
    <w:rsid w:val="00A7261B"/>
    <w:rsid w:val="00A74D0A"/>
    <w:rsid w:val="00A75ADE"/>
    <w:rsid w:val="00A77B00"/>
    <w:rsid w:val="00A81C80"/>
    <w:rsid w:val="00A86DA4"/>
    <w:rsid w:val="00A87194"/>
    <w:rsid w:val="00A8766D"/>
    <w:rsid w:val="00A90961"/>
    <w:rsid w:val="00A97118"/>
    <w:rsid w:val="00AA2005"/>
    <w:rsid w:val="00AA3D77"/>
    <w:rsid w:val="00AB1CE8"/>
    <w:rsid w:val="00AB505D"/>
    <w:rsid w:val="00AB539D"/>
    <w:rsid w:val="00AB5C4D"/>
    <w:rsid w:val="00AB5C5E"/>
    <w:rsid w:val="00AC612B"/>
    <w:rsid w:val="00AD3774"/>
    <w:rsid w:val="00AD3BA9"/>
    <w:rsid w:val="00AD4480"/>
    <w:rsid w:val="00AD5350"/>
    <w:rsid w:val="00AD63DF"/>
    <w:rsid w:val="00AE1B45"/>
    <w:rsid w:val="00AE2D09"/>
    <w:rsid w:val="00AE38CB"/>
    <w:rsid w:val="00AE3F7F"/>
    <w:rsid w:val="00AF4C11"/>
    <w:rsid w:val="00AF530A"/>
    <w:rsid w:val="00AF5D95"/>
    <w:rsid w:val="00AF60CE"/>
    <w:rsid w:val="00AF75AA"/>
    <w:rsid w:val="00B02D2A"/>
    <w:rsid w:val="00B054E5"/>
    <w:rsid w:val="00B11620"/>
    <w:rsid w:val="00B1250F"/>
    <w:rsid w:val="00B21662"/>
    <w:rsid w:val="00B414B2"/>
    <w:rsid w:val="00B529B8"/>
    <w:rsid w:val="00B6045F"/>
    <w:rsid w:val="00B6252F"/>
    <w:rsid w:val="00B62C9B"/>
    <w:rsid w:val="00B639FD"/>
    <w:rsid w:val="00B6659B"/>
    <w:rsid w:val="00B66617"/>
    <w:rsid w:val="00B6778B"/>
    <w:rsid w:val="00B77440"/>
    <w:rsid w:val="00B83537"/>
    <w:rsid w:val="00B87824"/>
    <w:rsid w:val="00B92F61"/>
    <w:rsid w:val="00B939A7"/>
    <w:rsid w:val="00B95CBB"/>
    <w:rsid w:val="00BA352F"/>
    <w:rsid w:val="00BA4ECD"/>
    <w:rsid w:val="00BB4AC4"/>
    <w:rsid w:val="00BB6F42"/>
    <w:rsid w:val="00BC6CE2"/>
    <w:rsid w:val="00BC702A"/>
    <w:rsid w:val="00BD1FD1"/>
    <w:rsid w:val="00BD22C3"/>
    <w:rsid w:val="00BD5294"/>
    <w:rsid w:val="00BD53FB"/>
    <w:rsid w:val="00BD64F5"/>
    <w:rsid w:val="00BD77E6"/>
    <w:rsid w:val="00BD7DE7"/>
    <w:rsid w:val="00BE3ABD"/>
    <w:rsid w:val="00BE3F54"/>
    <w:rsid w:val="00BE7F68"/>
    <w:rsid w:val="00BF05B6"/>
    <w:rsid w:val="00BF196A"/>
    <w:rsid w:val="00BF3589"/>
    <w:rsid w:val="00C04B48"/>
    <w:rsid w:val="00C076AF"/>
    <w:rsid w:val="00C10D64"/>
    <w:rsid w:val="00C11FD6"/>
    <w:rsid w:val="00C20DE8"/>
    <w:rsid w:val="00C24A98"/>
    <w:rsid w:val="00C358F5"/>
    <w:rsid w:val="00C35CBE"/>
    <w:rsid w:val="00C4097A"/>
    <w:rsid w:val="00C42263"/>
    <w:rsid w:val="00C504E6"/>
    <w:rsid w:val="00C53896"/>
    <w:rsid w:val="00C554E1"/>
    <w:rsid w:val="00C657CA"/>
    <w:rsid w:val="00C8088D"/>
    <w:rsid w:val="00C85130"/>
    <w:rsid w:val="00C857F3"/>
    <w:rsid w:val="00C87488"/>
    <w:rsid w:val="00C94EF6"/>
    <w:rsid w:val="00C96625"/>
    <w:rsid w:val="00CA291B"/>
    <w:rsid w:val="00CA4A80"/>
    <w:rsid w:val="00CA793F"/>
    <w:rsid w:val="00CB0509"/>
    <w:rsid w:val="00CB2FFA"/>
    <w:rsid w:val="00CB39A5"/>
    <w:rsid w:val="00CC3516"/>
    <w:rsid w:val="00CC6D4B"/>
    <w:rsid w:val="00CD16DE"/>
    <w:rsid w:val="00CD1AD0"/>
    <w:rsid w:val="00CD2033"/>
    <w:rsid w:val="00CD21B5"/>
    <w:rsid w:val="00CD4724"/>
    <w:rsid w:val="00CE3470"/>
    <w:rsid w:val="00CE7619"/>
    <w:rsid w:val="00CF476B"/>
    <w:rsid w:val="00D047A9"/>
    <w:rsid w:val="00D0549A"/>
    <w:rsid w:val="00D056A5"/>
    <w:rsid w:val="00D07971"/>
    <w:rsid w:val="00D13630"/>
    <w:rsid w:val="00D136E9"/>
    <w:rsid w:val="00D208B4"/>
    <w:rsid w:val="00D359AE"/>
    <w:rsid w:val="00D42F04"/>
    <w:rsid w:val="00D4582C"/>
    <w:rsid w:val="00D4621A"/>
    <w:rsid w:val="00D668D5"/>
    <w:rsid w:val="00D7405B"/>
    <w:rsid w:val="00D90D1A"/>
    <w:rsid w:val="00D92825"/>
    <w:rsid w:val="00DB23D5"/>
    <w:rsid w:val="00DC289C"/>
    <w:rsid w:val="00DC55A3"/>
    <w:rsid w:val="00DD00DF"/>
    <w:rsid w:val="00DD08EB"/>
    <w:rsid w:val="00DD5650"/>
    <w:rsid w:val="00DD5C75"/>
    <w:rsid w:val="00DE00F3"/>
    <w:rsid w:val="00DE15C7"/>
    <w:rsid w:val="00DE59DA"/>
    <w:rsid w:val="00DE65B2"/>
    <w:rsid w:val="00DF40C7"/>
    <w:rsid w:val="00E013B2"/>
    <w:rsid w:val="00E033E7"/>
    <w:rsid w:val="00E04C61"/>
    <w:rsid w:val="00E06861"/>
    <w:rsid w:val="00E10EAD"/>
    <w:rsid w:val="00E13300"/>
    <w:rsid w:val="00E1543A"/>
    <w:rsid w:val="00E15B0C"/>
    <w:rsid w:val="00E24997"/>
    <w:rsid w:val="00E25263"/>
    <w:rsid w:val="00E2587F"/>
    <w:rsid w:val="00E27B24"/>
    <w:rsid w:val="00E334DA"/>
    <w:rsid w:val="00E36B51"/>
    <w:rsid w:val="00E40FCE"/>
    <w:rsid w:val="00E427AA"/>
    <w:rsid w:val="00E462C7"/>
    <w:rsid w:val="00E5502E"/>
    <w:rsid w:val="00E610BD"/>
    <w:rsid w:val="00E62718"/>
    <w:rsid w:val="00E63AFA"/>
    <w:rsid w:val="00E647A3"/>
    <w:rsid w:val="00E652A3"/>
    <w:rsid w:val="00E676CB"/>
    <w:rsid w:val="00E7572F"/>
    <w:rsid w:val="00E77730"/>
    <w:rsid w:val="00E809CB"/>
    <w:rsid w:val="00E84591"/>
    <w:rsid w:val="00E873A5"/>
    <w:rsid w:val="00E904BF"/>
    <w:rsid w:val="00E9140E"/>
    <w:rsid w:val="00E917FB"/>
    <w:rsid w:val="00EA0940"/>
    <w:rsid w:val="00EA32BE"/>
    <w:rsid w:val="00EA7837"/>
    <w:rsid w:val="00EC6817"/>
    <w:rsid w:val="00EC6ED2"/>
    <w:rsid w:val="00EC7006"/>
    <w:rsid w:val="00ED2166"/>
    <w:rsid w:val="00EE3CEE"/>
    <w:rsid w:val="00EE77FE"/>
    <w:rsid w:val="00EF0ADB"/>
    <w:rsid w:val="00EF342C"/>
    <w:rsid w:val="00EF499A"/>
    <w:rsid w:val="00EF69C1"/>
    <w:rsid w:val="00F07884"/>
    <w:rsid w:val="00F101B1"/>
    <w:rsid w:val="00F15BF4"/>
    <w:rsid w:val="00F16236"/>
    <w:rsid w:val="00F22D49"/>
    <w:rsid w:val="00F27E8B"/>
    <w:rsid w:val="00F27EC4"/>
    <w:rsid w:val="00F3657A"/>
    <w:rsid w:val="00F42644"/>
    <w:rsid w:val="00F45088"/>
    <w:rsid w:val="00F4527F"/>
    <w:rsid w:val="00F46153"/>
    <w:rsid w:val="00F579F2"/>
    <w:rsid w:val="00F57AFC"/>
    <w:rsid w:val="00F75F0E"/>
    <w:rsid w:val="00F80565"/>
    <w:rsid w:val="00F84203"/>
    <w:rsid w:val="00F873F0"/>
    <w:rsid w:val="00F9369E"/>
    <w:rsid w:val="00FA3D70"/>
    <w:rsid w:val="00FB34E6"/>
    <w:rsid w:val="00FB5E74"/>
    <w:rsid w:val="00FC029B"/>
    <w:rsid w:val="00FD0B64"/>
    <w:rsid w:val="00FD490B"/>
    <w:rsid w:val="00FD6E52"/>
    <w:rsid w:val="00FE462A"/>
    <w:rsid w:val="00FE5B5E"/>
    <w:rsid w:val="00FE6330"/>
    <w:rsid w:val="00FE66F2"/>
    <w:rsid w:val="00FF1D65"/>
    <w:rsid w:val="00FF51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ind w:firstLine="12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1C80"/>
    <w:pPr>
      <w:ind w:firstLine="0"/>
      <w:jc w:val="left"/>
    </w:pPr>
    <w:rPr>
      <w:rFonts w:ascii="Calibri" w:eastAsia="Calibri" w:hAnsi="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81C80"/>
    <w:pPr>
      <w:autoSpaceDE w:val="0"/>
      <w:autoSpaceDN w:val="0"/>
      <w:adjustRightInd w:val="0"/>
      <w:ind w:firstLine="0"/>
      <w:jc w:val="left"/>
    </w:pPr>
    <w:rPr>
      <w:rFonts w:eastAsia="Calibri"/>
      <w:color w:val="000000"/>
      <w:lang w:eastAsia="lt-LT"/>
    </w:rPr>
  </w:style>
  <w:style w:type="table" w:styleId="Lentelstinklelis">
    <w:name w:val="Table Grid"/>
    <w:basedOn w:val="prastojilentel"/>
    <w:uiPriority w:val="59"/>
    <w:rsid w:val="00A81C80"/>
    <w:pPr>
      <w:ind w:firstLine="0"/>
      <w:jc w:val="left"/>
    </w:pPr>
    <w:rPr>
      <w:rFonts w:ascii="Calibri" w:eastAsia="Calibri" w:hAnsi="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1C8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1C80"/>
    <w:rPr>
      <w:rFonts w:ascii="Tahoma" w:eastAsia="Calibri" w:hAnsi="Tahoma" w:cs="Tahoma"/>
      <w:sz w:val="16"/>
      <w:szCs w:val="16"/>
    </w:rPr>
  </w:style>
  <w:style w:type="paragraph" w:styleId="Sraopastraipa">
    <w:name w:val="List Paragraph"/>
    <w:basedOn w:val="prastasis"/>
    <w:uiPriority w:val="34"/>
    <w:qFormat/>
    <w:rsid w:val="00A81C80"/>
    <w:pPr>
      <w:ind w:left="720"/>
      <w:contextualSpacing/>
    </w:pPr>
    <w:rPr>
      <w:rFonts w:ascii="Times New Roman" w:eastAsia="Times New Roman" w:hAnsi="Times New Roman"/>
      <w:sz w:val="24"/>
      <w:szCs w:val="24"/>
      <w:lang w:eastAsia="lt-LT"/>
    </w:rPr>
  </w:style>
  <w:style w:type="character" w:styleId="Komentaronuoroda">
    <w:name w:val="annotation reference"/>
    <w:uiPriority w:val="99"/>
    <w:semiHidden/>
    <w:unhideWhenUsed/>
    <w:rsid w:val="00A81C80"/>
    <w:rPr>
      <w:sz w:val="16"/>
      <w:szCs w:val="16"/>
    </w:rPr>
  </w:style>
  <w:style w:type="paragraph" w:styleId="Komentarotekstas">
    <w:name w:val="annotation text"/>
    <w:basedOn w:val="prastasis"/>
    <w:link w:val="KomentarotekstasDiagrama"/>
    <w:uiPriority w:val="99"/>
    <w:semiHidden/>
    <w:unhideWhenUsed/>
    <w:rsid w:val="00A81C80"/>
    <w:rPr>
      <w:sz w:val="20"/>
      <w:szCs w:val="20"/>
    </w:rPr>
  </w:style>
  <w:style w:type="character" w:customStyle="1" w:styleId="KomentarotekstasDiagrama">
    <w:name w:val="Komentaro tekstas Diagrama"/>
    <w:basedOn w:val="Numatytasispastraiposriftas"/>
    <w:link w:val="Komentarotekstas"/>
    <w:uiPriority w:val="99"/>
    <w:semiHidden/>
    <w:rsid w:val="00A81C80"/>
    <w:rPr>
      <w:rFonts w:ascii="Calibri" w:eastAsia="Calibri" w:hAnsi="Calibri"/>
      <w:sz w:val="20"/>
      <w:szCs w:val="20"/>
    </w:rPr>
  </w:style>
  <w:style w:type="paragraph" w:styleId="Komentarotema">
    <w:name w:val="annotation subject"/>
    <w:basedOn w:val="Komentarotekstas"/>
    <w:next w:val="Komentarotekstas"/>
    <w:link w:val="KomentarotemaDiagrama"/>
    <w:uiPriority w:val="99"/>
    <w:semiHidden/>
    <w:unhideWhenUsed/>
    <w:rsid w:val="00A81C80"/>
    <w:rPr>
      <w:b/>
      <w:bCs/>
    </w:rPr>
  </w:style>
  <w:style w:type="character" w:customStyle="1" w:styleId="KomentarotemaDiagrama">
    <w:name w:val="Komentaro tema Diagrama"/>
    <w:basedOn w:val="KomentarotekstasDiagrama"/>
    <w:link w:val="Komentarotema"/>
    <w:uiPriority w:val="99"/>
    <w:semiHidden/>
    <w:rsid w:val="00A81C80"/>
    <w:rPr>
      <w:rFonts w:ascii="Calibri" w:eastAsia="Calibri" w:hAnsi="Calibri"/>
      <w:b/>
      <w:bCs/>
      <w:sz w:val="20"/>
      <w:szCs w:val="20"/>
    </w:rPr>
  </w:style>
  <w:style w:type="paragraph" w:styleId="Pataisymai">
    <w:name w:val="Revision"/>
    <w:hidden/>
    <w:uiPriority w:val="99"/>
    <w:semiHidden/>
    <w:rsid w:val="00705AE5"/>
    <w:pPr>
      <w:ind w:firstLine="0"/>
      <w:jc w:val="left"/>
    </w:pPr>
    <w:rPr>
      <w:rFonts w:ascii="Calibri" w:eastAsia="Calibri" w:hAnsi="Calibri"/>
      <w:sz w:val="22"/>
      <w:szCs w:val="22"/>
    </w:rPr>
  </w:style>
  <w:style w:type="paragraph" w:styleId="Antrats">
    <w:name w:val="header"/>
    <w:basedOn w:val="prastasis"/>
    <w:link w:val="AntratsDiagrama"/>
    <w:uiPriority w:val="99"/>
    <w:unhideWhenUsed/>
    <w:rsid w:val="00BB4AC4"/>
    <w:pPr>
      <w:tabs>
        <w:tab w:val="center" w:pos="4819"/>
        <w:tab w:val="right" w:pos="9638"/>
      </w:tabs>
    </w:pPr>
  </w:style>
  <w:style w:type="character" w:customStyle="1" w:styleId="AntratsDiagrama">
    <w:name w:val="Antraštės Diagrama"/>
    <w:basedOn w:val="Numatytasispastraiposriftas"/>
    <w:link w:val="Antrats"/>
    <w:uiPriority w:val="99"/>
    <w:rsid w:val="00BB4AC4"/>
    <w:rPr>
      <w:rFonts w:ascii="Calibri" w:eastAsia="Calibri" w:hAnsi="Calibri"/>
      <w:sz w:val="22"/>
      <w:szCs w:val="22"/>
    </w:rPr>
  </w:style>
  <w:style w:type="paragraph" w:styleId="Porat">
    <w:name w:val="footer"/>
    <w:basedOn w:val="prastasis"/>
    <w:link w:val="PoratDiagrama"/>
    <w:uiPriority w:val="99"/>
    <w:unhideWhenUsed/>
    <w:rsid w:val="00BB4AC4"/>
    <w:pPr>
      <w:tabs>
        <w:tab w:val="center" w:pos="4819"/>
        <w:tab w:val="right" w:pos="9638"/>
      </w:tabs>
    </w:pPr>
  </w:style>
  <w:style w:type="character" w:customStyle="1" w:styleId="PoratDiagrama">
    <w:name w:val="Poraštė Diagrama"/>
    <w:basedOn w:val="Numatytasispastraiposriftas"/>
    <w:link w:val="Porat"/>
    <w:uiPriority w:val="99"/>
    <w:rsid w:val="00BB4AC4"/>
    <w:rPr>
      <w:rFonts w:ascii="Calibri" w:eastAsia="Calibri" w:hAnsi="Calibri"/>
      <w:sz w:val="22"/>
      <w:szCs w:val="22"/>
    </w:rPr>
  </w:style>
  <w:style w:type="character" w:customStyle="1" w:styleId="table-value">
    <w:name w:val="table-value"/>
    <w:basedOn w:val="Numatytasispastraiposriftas"/>
    <w:rsid w:val="00556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ind w:firstLine="12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1C80"/>
    <w:pPr>
      <w:ind w:firstLine="0"/>
      <w:jc w:val="left"/>
    </w:pPr>
    <w:rPr>
      <w:rFonts w:ascii="Calibri" w:eastAsia="Calibri" w:hAnsi="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81C80"/>
    <w:pPr>
      <w:autoSpaceDE w:val="0"/>
      <w:autoSpaceDN w:val="0"/>
      <w:adjustRightInd w:val="0"/>
      <w:ind w:firstLine="0"/>
      <w:jc w:val="left"/>
    </w:pPr>
    <w:rPr>
      <w:rFonts w:eastAsia="Calibri"/>
      <w:color w:val="000000"/>
      <w:lang w:eastAsia="lt-LT"/>
    </w:rPr>
  </w:style>
  <w:style w:type="table" w:styleId="Lentelstinklelis">
    <w:name w:val="Table Grid"/>
    <w:basedOn w:val="prastojilentel"/>
    <w:uiPriority w:val="59"/>
    <w:rsid w:val="00A81C80"/>
    <w:pPr>
      <w:ind w:firstLine="0"/>
      <w:jc w:val="left"/>
    </w:pPr>
    <w:rPr>
      <w:rFonts w:ascii="Calibri" w:eastAsia="Calibri" w:hAnsi="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1C8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1C80"/>
    <w:rPr>
      <w:rFonts w:ascii="Tahoma" w:eastAsia="Calibri" w:hAnsi="Tahoma" w:cs="Tahoma"/>
      <w:sz w:val="16"/>
      <w:szCs w:val="16"/>
    </w:rPr>
  </w:style>
  <w:style w:type="paragraph" w:styleId="Sraopastraipa">
    <w:name w:val="List Paragraph"/>
    <w:basedOn w:val="prastasis"/>
    <w:uiPriority w:val="34"/>
    <w:qFormat/>
    <w:rsid w:val="00A81C80"/>
    <w:pPr>
      <w:ind w:left="720"/>
      <w:contextualSpacing/>
    </w:pPr>
    <w:rPr>
      <w:rFonts w:ascii="Times New Roman" w:eastAsia="Times New Roman" w:hAnsi="Times New Roman"/>
      <w:sz w:val="24"/>
      <w:szCs w:val="24"/>
      <w:lang w:eastAsia="lt-LT"/>
    </w:rPr>
  </w:style>
  <w:style w:type="character" w:styleId="Komentaronuoroda">
    <w:name w:val="annotation reference"/>
    <w:uiPriority w:val="99"/>
    <w:semiHidden/>
    <w:unhideWhenUsed/>
    <w:rsid w:val="00A81C80"/>
    <w:rPr>
      <w:sz w:val="16"/>
      <w:szCs w:val="16"/>
    </w:rPr>
  </w:style>
  <w:style w:type="paragraph" w:styleId="Komentarotekstas">
    <w:name w:val="annotation text"/>
    <w:basedOn w:val="prastasis"/>
    <w:link w:val="KomentarotekstasDiagrama"/>
    <w:uiPriority w:val="99"/>
    <w:semiHidden/>
    <w:unhideWhenUsed/>
    <w:rsid w:val="00A81C80"/>
    <w:rPr>
      <w:sz w:val="20"/>
      <w:szCs w:val="20"/>
    </w:rPr>
  </w:style>
  <w:style w:type="character" w:customStyle="1" w:styleId="KomentarotekstasDiagrama">
    <w:name w:val="Komentaro tekstas Diagrama"/>
    <w:basedOn w:val="Numatytasispastraiposriftas"/>
    <w:link w:val="Komentarotekstas"/>
    <w:uiPriority w:val="99"/>
    <w:semiHidden/>
    <w:rsid w:val="00A81C80"/>
    <w:rPr>
      <w:rFonts w:ascii="Calibri" w:eastAsia="Calibri" w:hAnsi="Calibri"/>
      <w:sz w:val="20"/>
      <w:szCs w:val="20"/>
    </w:rPr>
  </w:style>
  <w:style w:type="paragraph" w:styleId="Komentarotema">
    <w:name w:val="annotation subject"/>
    <w:basedOn w:val="Komentarotekstas"/>
    <w:next w:val="Komentarotekstas"/>
    <w:link w:val="KomentarotemaDiagrama"/>
    <w:uiPriority w:val="99"/>
    <w:semiHidden/>
    <w:unhideWhenUsed/>
    <w:rsid w:val="00A81C80"/>
    <w:rPr>
      <w:b/>
      <w:bCs/>
    </w:rPr>
  </w:style>
  <w:style w:type="character" w:customStyle="1" w:styleId="KomentarotemaDiagrama">
    <w:name w:val="Komentaro tema Diagrama"/>
    <w:basedOn w:val="KomentarotekstasDiagrama"/>
    <w:link w:val="Komentarotema"/>
    <w:uiPriority w:val="99"/>
    <w:semiHidden/>
    <w:rsid w:val="00A81C80"/>
    <w:rPr>
      <w:rFonts w:ascii="Calibri" w:eastAsia="Calibri" w:hAnsi="Calibri"/>
      <w:b/>
      <w:bCs/>
      <w:sz w:val="20"/>
      <w:szCs w:val="20"/>
    </w:rPr>
  </w:style>
  <w:style w:type="paragraph" w:styleId="Pataisymai">
    <w:name w:val="Revision"/>
    <w:hidden/>
    <w:uiPriority w:val="99"/>
    <w:semiHidden/>
    <w:rsid w:val="00705AE5"/>
    <w:pPr>
      <w:ind w:firstLine="0"/>
      <w:jc w:val="left"/>
    </w:pPr>
    <w:rPr>
      <w:rFonts w:ascii="Calibri" w:eastAsia="Calibri" w:hAnsi="Calibri"/>
      <w:sz w:val="22"/>
      <w:szCs w:val="22"/>
    </w:rPr>
  </w:style>
  <w:style w:type="paragraph" w:styleId="Antrats">
    <w:name w:val="header"/>
    <w:basedOn w:val="prastasis"/>
    <w:link w:val="AntratsDiagrama"/>
    <w:uiPriority w:val="99"/>
    <w:unhideWhenUsed/>
    <w:rsid w:val="00BB4AC4"/>
    <w:pPr>
      <w:tabs>
        <w:tab w:val="center" w:pos="4819"/>
        <w:tab w:val="right" w:pos="9638"/>
      </w:tabs>
    </w:pPr>
  </w:style>
  <w:style w:type="character" w:customStyle="1" w:styleId="AntratsDiagrama">
    <w:name w:val="Antraštės Diagrama"/>
    <w:basedOn w:val="Numatytasispastraiposriftas"/>
    <w:link w:val="Antrats"/>
    <w:uiPriority w:val="99"/>
    <w:rsid w:val="00BB4AC4"/>
    <w:rPr>
      <w:rFonts w:ascii="Calibri" w:eastAsia="Calibri" w:hAnsi="Calibri"/>
      <w:sz w:val="22"/>
      <w:szCs w:val="22"/>
    </w:rPr>
  </w:style>
  <w:style w:type="paragraph" w:styleId="Porat">
    <w:name w:val="footer"/>
    <w:basedOn w:val="prastasis"/>
    <w:link w:val="PoratDiagrama"/>
    <w:uiPriority w:val="99"/>
    <w:unhideWhenUsed/>
    <w:rsid w:val="00BB4AC4"/>
    <w:pPr>
      <w:tabs>
        <w:tab w:val="center" w:pos="4819"/>
        <w:tab w:val="right" w:pos="9638"/>
      </w:tabs>
    </w:pPr>
  </w:style>
  <w:style w:type="character" w:customStyle="1" w:styleId="PoratDiagrama">
    <w:name w:val="Poraštė Diagrama"/>
    <w:basedOn w:val="Numatytasispastraiposriftas"/>
    <w:link w:val="Porat"/>
    <w:uiPriority w:val="99"/>
    <w:rsid w:val="00BB4AC4"/>
    <w:rPr>
      <w:rFonts w:ascii="Calibri" w:eastAsia="Calibri" w:hAnsi="Calibri"/>
      <w:sz w:val="22"/>
      <w:szCs w:val="22"/>
    </w:rPr>
  </w:style>
  <w:style w:type="character" w:customStyle="1" w:styleId="table-value">
    <w:name w:val="table-value"/>
    <w:basedOn w:val="Numatytasispastraiposriftas"/>
    <w:rsid w:val="0055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5010">
      <w:bodyDiv w:val="1"/>
      <w:marLeft w:val="0"/>
      <w:marRight w:val="0"/>
      <w:marTop w:val="0"/>
      <w:marBottom w:val="0"/>
      <w:divBdr>
        <w:top w:val="none" w:sz="0" w:space="0" w:color="auto"/>
        <w:left w:val="none" w:sz="0" w:space="0" w:color="auto"/>
        <w:bottom w:val="none" w:sz="0" w:space="0" w:color="auto"/>
        <w:right w:val="none" w:sz="0" w:space="0" w:color="auto"/>
      </w:divBdr>
    </w:div>
    <w:div w:id="290675418">
      <w:bodyDiv w:val="1"/>
      <w:marLeft w:val="0"/>
      <w:marRight w:val="0"/>
      <w:marTop w:val="0"/>
      <w:marBottom w:val="0"/>
      <w:divBdr>
        <w:top w:val="none" w:sz="0" w:space="0" w:color="auto"/>
        <w:left w:val="none" w:sz="0" w:space="0" w:color="auto"/>
        <w:bottom w:val="none" w:sz="0" w:space="0" w:color="auto"/>
        <w:right w:val="none" w:sz="0" w:space="0" w:color="auto"/>
      </w:divBdr>
    </w:div>
    <w:div w:id="1420641655">
      <w:bodyDiv w:val="1"/>
      <w:marLeft w:val="0"/>
      <w:marRight w:val="0"/>
      <w:marTop w:val="0"/>
      <w:marBottom w:val="0"/>
      <w:divBdr>
        <w:top w:val="none" w:sz="0" w:space="0" w:color="auto"/>
        <w:left w:val="none" w:sz="0" w:space="0" w:color="auto"/>
        <w:bottom w:val="none" w:sz="0" w:space="0" w:color="auto"/>
        <w:right w:val="none" w:sz="0" w:space="0" w:color="auto"/>
      </w:divBdr>
    </w:div>
    <w:div w:id="1560630335">
      <w:bodyDiv w:val="1"/>
      <w:marLeft w:val="0"/>
      <w:marRight w:val="0"/>
      <w:marTop w:val="0"/>
      <w:marBottom w:val="0"/>
      <w:divBdr>
        <w:top w:val="none" w:sz="0" w:space="0" w:color="auto"/>
        <w:left w:val="none" w:sz="0" w:space="0" w:color="auto"/>
        <w:bottom w:val="none" w:sz="0" w:space="0" w:color="auto"/>
        <w:right w:val="none" w:sz="0" w:space="0" w:color="auto"/>
      </w:divBdr>
    </w:div>
    <w:div w:id="1845705402">
      <w:bodyDiv w:val="1"/>
      <w:marLeft w:val="0"/>
      <w:marRight w:val="0"/>
      <w:marTop w:val="0"/>
      <w:marBottom w:val="0"/>
      <w:divBdr>
        <w:top w:val="none" w:sz="0" w:space="0" w:color="auto"/>
        <w:left w:val="none" w:sz="0" w:space="0" w:color="auto"/>
        <w:bottom w:val="none" w:sz="0" w:space="0" w:color="auto"/>
        <w:right w:val="none" w:sz="0" w:space="0" w:color="auto"/>
      </w:divBdr>
    </w:div>
    <w:div w:id="18787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928823407345918E-2"/>
          <c:y val="5.6080131808710521E-2"/>
          <c:w val="0.76818552596060141"/>
          <c:h val="0.67900900781334428"/>
        </c:manualLayout>
      </c:layout>
      <c:barChart>
        <c:barDir val="col"/>
        <c:grouping val="clustered"/>
        <c:varyColors val="0"/>
        <c:ser>
          <c:idx val="0"/>
          <c:order val="0"/>
          <c:tx>
            <c:strRef>
              <c:f>Lapas1!$B$148</c:f>
              <c:strCache>
                <c:ptCount val="1"/>
                <c:pt idx="0">
                  <c:v>Gyventojų skaičius Alytaus mieste</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Lapas1!$C$147:$G$147</c:f>
              <c:strCache>
                <c:ptCount val="5"/>
                <c:pt idx="0">
                  <c:v>2015</c:v>
                </c:pt>
                <c:pt idx="1">
                  <c:v>2016</c:v>
                </c:pt>
                <c:pt idx="2">
                  <c:v>2017</c:v>
                </c:pt>
                <c:pt idx="3">
                  <c:v>2018</c:v>
                </c:pt>
                <c:pt idx="4">
                  <c:v>2019 07 01</c:v>
                </c:pt>
              </c:strCache>
            </c:strRef>
          </c:cat>
          <c:val>
            <c:numRef>
              <c:f>Lapas1!$C$148:$G$148</c:f>
              <c:numCache>
                <c:formatCode>General</c:formatCode>
                <c:ptCount val="5"/>
                <c:pt idx="0">
                  <c:v>55614</c:v>
                </c:pt>
                <c:pt idx="1">
                  <c:v>54431</c:v>
                </c:pt>
                <c:pt idx="2">
                  <c:v>52792</c:v>
                </c:pt>
                <c:pt idx="3">
                  <c:v>50422</c:v>
                </c:pt>
                <c:pt idx="4">
                  <c:v>50035</c:v>
                </c:pt>
              </c:numCache>
            </c:numRef>
          </c:val>
          <c:extLst xmlns:c16r2="http://schemas.microsoft.com/office/drawing/2015/06/chart">
            <c:ext xmlns:c16="http://schemas.microsoft.com/office/drawing/2014/chart" uri="{C3380CC4-5D6E-409C-BE32-E72D297353CC}">
              <c16:uniqueId val="{00000000-494B-4054-B39A-DB9F4851B6A3}"/>
            </c:ext>
          </c:extLst>
        </c:ser>
        <c:ser>
          <c:idx val="1"/>
          <c:order val="1"/>
          <c:tx>
            <c:strRef>
              <c:f>Lapas1!$B$149</c:f>
              <c:strCache>
                <c:ptCount val="1"/>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Lapas1!$C$147:$G$147</c:f>
              <c:strCache>
                <c:ptCount val="5"/>
                <c:pt idx="0">
                  <c:v>2015</c:v>
                </c:pt>
                <c:pt idx="1">
                  <c:v>2016</c:v>
                </c:pt>
                <c:pt idx="2">
                  <c:v>2017</c:v>
                </c:pt>
                <c:pt idx="3">
                  <c:v>2018</c:v>
                </c:pt>
                <c:pt idx="4">
                  <c:v>2019 07 01</c:v>
                </c:pt>
              </c:strCache>
            </c:strRef>
          </c:cat>
          <c:val>
            <c:numRef>
              <c:f>Lapas1!$C$149:$G$149</c:f>
              <c:numCache>
                <c:formatCode>General</c:formatCode>
                <c:ptCount val="5"/>
              </c:numCache>
            </c:numRef>
          </c:val>
          <c:extLst xmlns:c16r2="http://schemas.microsoft.com/office/drawing/2015/06/chart">
            <c:ext xmlns:c16="http://schemas.microsoft.com/office/drawing/2014/chart" uri="{C3380CC4-5D6E-409C-BE32-E72D297353CC}">
              <c16:uniqueId val="{00000001-494B-4054-B39A-DB9F4851B6A3}"/>
            </c:ext>
          </c:extLst>
        </c:ser>
        <c:dLbls>
          <c:showLegendKey val="0"/>
          <c:showVal val="0"/>
          <c:showCatName val="0"/>
          <c:showSerName val="0"/>
          <c:showPercent val="0"/>
          <c:showBubbleSize val="0"/>
        </c:dLbls>
        <c:gapWidth val="150"/>
        <c:axId val="246931456"/>
        <c:axId val="246932992"/>
      </c:barChart>
      <c:catAx>
        <c:axId val="246931456"/>
        <c:scaling>
          <c:orientation val="minMax"/>
        </c:scaling>
        <c:delete val="0"/>
        <c:axPos val="b"/>
        <c:numFmt formatCode="General" sourceLinked="1"/>
        <c:majorTickMark val="out"/>
        <c:minorTickMark val="none"/>
        <c:tickLblPos val="nextTo"/>
        <c:crossAx val="246932992"/>
        <c:crosses val="autoZero"/>
        <c:auto val="1"/>
        <c:lblAlgn val="ctr"/>
        <c:lblOffset val="100"/>
        <c:noMultiLvlLbl val="0"/>
      </c:catAx>
      <c:valAx>
        <c:axId val="246932992"/>
        <c:scaling>
          <c:orientation val="minMax"/>
        </c:scaling>
        <c:delete val="0"/>
        <c:axPos val="l"/>
        <c:numFmt formatCode="General" sourceLinked="1"/>
        <c:majorTickMark val="out"/>
        <c:minorTickMark val="none"/>
        <c:tickLblPos val="nextTo"/>
        <c:crossAx val="246931456"/>
        <c:crosses val="autoZero"/>
        <c:crossBetween val="between"/>
      </c:valAx>
      <c:spPr>
        <a:solidFill>
          <a:schemeClr val="bg2">
            <a:lumMod val="90000"/>
          </a:schemeClr>
        </a:solidFill>
      </c:spPr>
    </c:plotArea>
    <c:legend>
      <c:legendPos val="b"/>
      <c:legendEntry>
        <c:idx val="1"/>
        <c:delete val="1"/>
      </c:legendEntry>
      <c:overlay val="0"/>
    </c:legend>
    <c:plotVisOnly val="1"/>
    <c:dispBlanksAs val="gap"/>
    <c:showDLblsOverMax val="0"/>
  </c:chart>
  <c:spPr>
    <a:gradFill flip="none" rotWithShape="1">
      <a:gsLst>
        <a:gs pos="0">
          <a:schemeClr val="bg2">
            <a:lumMod val="50000"/>
            <a:shade val="30000"/>
            <a:satMod val="115000"/>
          </a:schemeClr>
        </a:gs>
        <a:gs pos="50000">
          <a:schemeClr val="bg2">
            <a:lumMod val="50000"/>
            <a:shade val="67500"/>
            <a:satMod val="115000"/>
          </a:schemeClr>
        </a:gs>
        <a:gs pos="100000">
          <a:schemeClr val="bg2">
            <a:lumMod val="50000"/>
            <a:shade val="100000"/>
            <a:satMod val="115000"/>
          </a:schemeClr>
        </a:gs>
      </a:gsLst>
      <a:lin ang="0" scaled="1"/>
      <a:tileRect/>
    </a:gra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75"/>
          <c:y val="6.6071145362148878E-2"/>
          <c:w val="0.64823206474190731"/>
          <c:h val="0.57126218797118444"/>
        </c:manualLayout>
      </c:layout>
      <c:barChart>
        <c:barDir val="col"/>
        <c:grouping val="clustered"/>
        <c:varyColors val="0"/>
        <c:ser>
          <c:idx val="0"/>
          <c:order val="0"/>
          <c:tx>
            <c:strRef>
              <c:f>Lapas1!$B$120</c:f>
              <c:strCache>
                <c:ptCount val="1"/>
                <c:pt idx="0">
                  <c:v>darbuotojų skaičius veikiančiose įmonėse</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Lapas1!$C$119:$G$119</c:f>
              <c:numCache>
                <c:formatCode>General</c:formatCode>
                <c:ptCount val="5"/>
                <c:pt idx="0">
                  <c:v>2015</c:v>
                </c:pt>
                <c:pt idx="1">
                  <c:v>2016</c:v>
                </c:pt>
                <c:pt idx="2">
                  <c:v>2017</c:v>
                </c:pt>
                <c:pt idx="3">
                  <c:v>2018</c:v>
                </c:pt>
                <c:pt idx="4">
                  <c:v>2019</c:v>
                </c:pt>
              </c:numCache>
            </c:numRef>
          </c:cat>
          <c:val>
            <c:numRef>
              <c:f>Lapas1!$C$120:$G$120</c:f>
              <c:numCache>
                <c:formatCode>General</c:formatCode>
                <c:ptCount val="5"/>
                <c:pt idx="0">
                  <c:v>14963</c:v>
                </c:pt>
                <c:pt idx="1">
                  <c:v>15347</c:v>
                </c:pt>
                <c:pt idx="2">
                  <c:v>15522</c:v>
                </c:pt>
                <c:pt idx="3">
                  <c:v>15097</c:v>
                </c:pt>
                <c:pt idx="4">
                  <c:v>14977</c:v>
                </c:pt>
              </c:numCache>
            </c:numRef>
          </c:val>
          <c:extLst xmlns:c16r2="http://schemas.microsoft.com/office/drawing/2015/06/chart">
            <c:ext xmlns:c16="http://schemas.microsoft.com/office/drawing/2014/chart" uri="{C3380CC4-5D6E-409C-BE32-E72D297353CC}">
              <c16:uniqueId val="{00000000-2867-491E-873D-B67D50903919}"/>
            </c:ext>
          </c:extLst>
        </c:ser>
        <c:dLbls>
          <c:showLegendKey val="0"/>
          <c:showVal val="0"/>
          <c:showCatName val="0"/>
          <c:showSerName val="0"/>
          <c:showPercent val="0"/>
          <c:showBubbleSize val="0"/>
        </c:dLbls>
        <c:gapWidth val="150"/>
        <c:axId val="283725184"/>
        <c:axId val="283739264"/>
      </c:barChart>
      <c:catAx>
        <c:axId val="283725184"/>
        <c:scaling>
          <c:orientation val="minMax"/>
        </c:scaling>
        <c:delete val="0"/>
        <c:axPos val="b"/>
        <c:numFmt formatCode="General" sourceLinked="1"/>
        <c:majorTickMark val="out"/>
        <c:minorTickMark val="none"/>
        <c:tickLblPos val="nextTo"/>
        <c:crossAx val="283739264"/>
        <c:crosses val="autoZero"/>
        <c:auto val="1"/>
        <c:lblAlgn val="ctr"/>
        <c:lblOffset val="100"/>
        <c:noMultiLvlLbl val="0"/>
      </c:catAx>
      <c:valAx>
        <c:axId val="283739264"/>
        <c:scaling>
          <c:orientation val="minMax"/>
        </c:scaling>
        <c:delete val="0"/>
        <c:axPos val="l"/>
        <c:numFmt formatCode="General" sourceLinked="1"/>
        <c:majorTickMark val="out"/>
        <c:minorTickMark val="none"/>
        <c:tickLblPos val="nextTo"/>
        <c:crossAx val="283725184"/>
        <c:crosses val="autoZero"/>
        <c:crossBetween val="between"/>
      </c:valAx>
      <c:spPr>
        <a:solidFill>
          <a:schemeClr val="bg2">
            <a:lumMod val="90000"/>
          </a:schemeClr>
        </a:solidFill>
      </c:spPr>
    </c:plotArea>
    <c:legend>
      <c:legendPos val="r"/>
      <c:layout>
        <c:manualLayout>
          <c:xMode val="edge"/>
          <c:yMode val="edge"/>
          <c:x val="0.6474265091863517"/>
          <c:y val="0.7487538951248115"/>
          <c:w val="0.33590682414698164"/>
          <c:h val="0.18901658569274588"/>
        </c:manualLayout>
      </c:layout>
      <c:overlay val="0"/>
    </c:legend>
    <c:plotVisOnly val="1"/>
    <c:dispBlanksAs val="gap"/>
    <c:showDLblsOverMax val="0"/>
  </c:chart>
  <c:spPr>
    <a:solidFill>
      <a:schemeClr val="bg2">
        <a:lumMod val="50000"/>
      </a:schemeClr>
    </a:soli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256619144602857E-2"/>
          <c:y val="5.565132315449816E-2"/>
          <c:w val="0.65704956941482107"/>
          <c:h val="0.82047770910356632"/>
        </c:manualLayout>
      </c:layout>
      <c:barChart>
        <c:barDir val="col"/>
        <c:grouping val="clustered"/>
        <c:varyColors val="0"/>
        <c:ser>
          <c:idx val="0"/>
          <c:order val="0"/>
          <c:tx>
            <c:strRef>
              <c:f>Lapas1!$B$45</c:f>
              <c:strCache>
                <c:ptCount val="1"/>
                <c:pt idx="0">
                  <c:v>Demografinės senatvės koeficientas</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Lapas1!$C$44:$G$44</c:f>
              <c:numCache>
                <c:formatCode>General</c:formatCode>
                <c:ptCount val="5"/>
                <c:pt idx="0">
                  <c:v>2015</c:v>
                </c:pt>
                <c:pt idx="1">
                  <c:v>2016</c:v>
                </c:pt>
                <c:pt idx="2">
                  <c:v>2017</c:v>
                </c:pt>
                <c:pt idx="3">
                  <c:v>2018</c:v>
                </c:pt>
                <c:pt idx="4">
                  <c:v>2019</c:v>
                </c:pt>
              </c:numCache>
            </c:numRef>
          </c:cat>
          <c:val>
            <c:numRef>
              <c:f>Lapas1!$C$45:$G$45</c:f>
              <c:numCache>
                <c:formatCode>General</c:formatCode>
                <c:ptCount val="5"/>
                <c:pt idx="0">
                  <c:v>134</c:v>
                </c:pt>
                <c:pt idx="1">
                  <c:v>143</c:v>
                </c:pt>
                <c:pt idx="2">
                  <c:v>153</c:v>
                </c:pt>
                <c:pt idx="3">
                  <c:v>159</c:v>
                </c:pt>
                <c:pt idx="4">
                  <c:v>168</c:v>
                </c:pt>
              </c:numCache>
            </c:numRef>
          </c:val>
          <c:extLst xmlns:c16r2="http://schemas.microsoft.com/office/drawing/2015/06/chart">
            <c:ext xmlns:c16="http://schemas.microsoft.com/office/drawing/2014/chart" uri="{C3380CC4-5D6E-409C-BE32-E72D297353CC}">
              <c16:uniqueId val="{00000000-71BA-4411-AC59-B8B819D8495B}"/>
            </c:ext>
          </c:extLst>
        </c:ser>
        <c:dLbls>
          <c:showLegendKey val="0"/>
          <c:showVal val="0"/>
          <c:showCatName val="0"/>
          <c:showSerName val="0"/>
          <c:showPercent val="0"/>
          <c:showBubbleSize val="0"/>
        </c:dLbls>
        <c:gapWidth val="150"/>
        <c:axId val="267242112"/>
        <c:axId val="283181440"/>
      </c:barChart>
      <c:catAx>
        <c:axId val="267242112"/>
        <c:scaling>
          <c:orientation val="minMax"/>
        </c:scaling>
        <c:delete val="0"/>
        <c:axPos val="b"/>
        <c:numFmt formatCode="General" sourceLinked="1"/>
        <c:majorTickMark val="out"/>
        <c:minorTickMark val="none"/>
        <c:tickLblPos val="nextTo"/>
        <c:crossAx val="283181440"/>
        <c:crosses val="autoZero"/>
        <c:auto val="1"/>
        <c:lblAlgn val="ctr"/>
        <c:lblOffset val="100"/>
        <c:noMultiLvlLbl val="0"/>
      </c:catAx>
      <c:valAx>
        <c:axId val="283181440"/>
        <c:scaling>
          <c:orientation val="minMax"/>
        </c:scaling>
        <c:delete val="0"/>
        <c:axPos val="l"/>
        <c:numFmt formatCode="General" sourceLinked="1"/>
        <c:majorTickMark val="out"/>
        <c:minorTickMark val="none"/>
        <c:tickLblPos val="nextTo"/>
        <c:crossAx val="267242112"/>
        <c:crosses val="autoZero"/>
        <c:crossBetween val="between"/>
      </c:valAx>
      <c:spPr>
        <a:solidFill>
          <a:schemeClr val="bg2">
            <a:lumMod val="75000"/>
          </a:schemeClr>
        </a:solidFill>
      </c:spPr>
    </c:plotArea>
    <c:legend>
      <c:legendPos val="r"/>
      <c:layout>
        <c:manualLayout>
          <c:xMode val="edge"/>
          <c:yMode val="edge"/>
          <c:x val="0.70514189799594806"/>
          <c:y val="0.4514593740298592"/>
          <c:w val="0.27856482298164864"/>
          <c:h val="0.24522902379138095"/>
        </c:manualLayout>
      </c:layout>
      <c:overlay val="0"/>
    </c:legend>
    <c:plotVisOnly val="1"/>
    <c:dispBlanksAs val="gap"/>
    <c:showDLblsOverMax val="0"/>
  </c:chart>
  <c:spPr>
    <a:gradFill flip="none" rotWithShape="1">
      <a:gsLst>
        <a:gs pos="0">
          <a:schemeClr val="bg2">
            <a:lumMod val="50000"/>
            <a:shade val="30000"/>
            <a:satMod val="115000"/>
          </a:schemeClr>
        </a:gs>
        <a:gs pos="50000">
          <a:schemeClr val="bg2">
            <a:lumMod val="50000"/>
            <a:shade val="67500"/>
            <a:satMod val="115000"/>
          </a:schemeClr>
        </a:gs>
        <a:gs pos="100000">
          <a:schemeClr val="bg2">
            <a:lumMod val="50000"/>
            <a:shade val="100000"/>
            <a:satMod val="115000"/>
          </a:schemeClr>
        </a:gs>
      </a:gsLst>
      <a:lin ang="0" scaled="1"/>
      <a:tileRect/>
    </a:gra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54877602451089"/>
          <c:y val="6.3735632183908042E-2"/>
          <c:w val="0.61433259089625747"/>
          <c:h val="0.5973196669381845"/>
        </c:manualLayout>
      </c:layout>
      <c:barChart>
        <c:barDir val="col"/>
        <c:grouping val="clustered"/>
        <c:varyColors val="0"/>
        <c:ser>
          <c:idx val="0"/>
          <c:order val="0"/>
          <c:tx>
            <c:strRef>
              <c:f>Lapas1!$B$130</c:f>
              <c:strCache>
                <c:ptCount val="1"/>
                <c:pt idx="0">
                  <c:v>Mokinių skaičius</c:v>
                </c:pt>
              </c:strCache>
            </c:strRef>
          </c:tx>
          <c:spPr>
            <a:solidFill>
              <a:schemeClr val="accent6">
                <a:lumMod val="75000"/>
              </a:schemeClr>
            </a:solidFill>
            <a:ln>
              <a:solidFill>
                <a:srgbClr val="FF6600"/>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Lapas1!$C$129:$G$129</c:f>
              <c:strCache>
                <c:ptCount val="5"/>
                <c:pt idx="0">
                  <c:v>2015–2016</c:v>
                </c:pt>
                <c:pt idx="1">
                  <c:v>2016–2017</c:v>
                </c:pt>
                <c:pt idx="2">
                  <c:v>2017–2018</c:v>
                </c:pt>
                <c:pt idx="3">
                  <c:v>2018–2019</c:v>
                </c:pt>
                <c:pt idx="4">
                  <c:v>2019-2020</c:v>
                </c:pt>
              </c:strCache>
            </c:strRef>
          </c:cat>
          <c:val>
            <c:numRef>
              <c:f>Lapas1!$C$130:$G$130</c:f>
              <c:numCache>
                <c:formatCode>General</c:formatCode>
                <c:ptCount val="5"/>
                <c:pt idx="0">
                  <c:v>7332</c:v>
                </c:pt>
                <c:pt idx="1">
                  <c:v>7199</c:v>
                </c:pt>
                <c:pt idx="2">
                  <c:v>6939</c:v>
                </c:pt>
                <c:pt idx="3">
                  <c:v>6745</c:v>
                </c:pt>
                <c:pt idx="4">
                  <c:v>6718</c:v>
                </c:pt>
              </c:numCache>
            </c:numRef>
          </c:val>
          <c:extLst xmlns:c16r2="http://schemas.microsoft.com/office/drawing/2015/06/chart">
            <c:ext xmlns:c16="http://schemas.microsoft.com/office/drawing/2014/chart" uri="{C3380CC4-5D6E-409C-BE32-E72D297353CC}">
              <c16:uniqueId val="{00000000-8271-46C7-B514-51855DBC037E}"/>
            </c:ext>
          </c:extLst>
        </c:ser>
        <c:ser>
          <c:idx val="1"/>
          <c:order val="1"/>
          <c:tx>
            <c:strRef>
              <c:f>Lapas1!$B$131</c:f>
              <c:strCache>
                <c:ptCount val="1"/>
                <c:pt idx="0">
                  <c:v>Mokinių  iš kitų savivaldybių skaičius</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Lapas1!$C$129:$G$129</c:f>
              <c:strCache>
                <c:ptCount val="5"/>
                <c:pt idx="0">
                  <c:v>2015–2016</c:v>
                </c:pt>
                <c:pt idx="1">
                  <c:v>2016–2017</c:v>
                </c:pt>
                <c:pt idx="2">
                  <c:v>2017–2018</c:v>
                </c:pt>
                <c:pt idx="3">
                  <c:v>2018–2019</c:v>
                </c:pt>
                <c:pt idx="4">
                  <c:v>2019-2020</c:v>
                </c:pt>
              </c:strCache>
            </c:strRef>
          </c:cat>
          <c:val>
            <c:numRef>
              <c:f>Lapas1!$C$131:$G$131</c:f>
              <c:numCache>
                <c:formatCode>General</c:formatCode>
                <c:ptCount val="5"/>
                <c:pt idx="0">
                  <c:v>1090</c:v>
                </c:pt>
                <c:pt idx="1">
                  <c:v>1130</c:v>
                </c:pt>
                <c:pt idx="2">
                  <c:v>1085</c:v>
                </c:pt>
                <c:pt idx="3">
                  <c:v>1159</c:v>
                </c:pt>
                <c:pt idx="4">
                  <c:v>1294</c:v>
                </c:pt>
              </c:numCache>
            </c:numRef>
          </c:val>
          <c:extLst xmlns:c16r2="http://schemas.microsoft.com/office/drawing/2015/06/chart">
            <c:ext xmlns:c16="http://schemas.microsoft.com/office/drawing/2014/chart" uri="{C3380CC4-5D6E-409C-BE32-E72D297353CC}">
              <c16:uniqueId val="{00000001-8271-46C7-B514-51855DBC037E}"/>
            </c:ext>
          </c:extLst>
        </c:ser>
        <c:dLbls>
          <c:showLegendKey val="0"/>
          <c:showVal val="0"/>
          <c:showCatName val="0"/>
          <c:showSerName val="0"/>
          <c:showPercent val="0"/>
          <c:showBubbleSize val="0"/>
        </c:dLbls>
        <c:gapWidth val="150"/>
        <c:axId val="292756480"/>
        <c:axId val="292770560"/>
      </c:barChart>
      <c:catAx>
        <c:axId val="292756480"/>
        <c:scaling>
          <c:orientation val="minMax"/>
        </c:scaling>
        <c:delete val="0"/>
        <c:axPos val="b"/>
        <c:numFmt formatCode="General" sourceLinked="1"/>
        <c:majorTickMark val="out"/>
        <c:minorTickMark val="none"/>
        <c:tickLblPos val="nextTo"/>
        <c:crossAx val="292770560"/>
        <c:crossesAt val="0"/>
        <c:auto val="1"/>
        <c:lblAlgn val="ctr"/>
        <c:lblOffset val="100"/>
        <c:noMultiLvlLbl val="0"/>
      </c:catAx>
      <c:valAx>
        <c:axId val="292770560"/>
        <c:scaling>
          <c:orientation val="minMax"/>
        </c:scaling>
        <c:delete val="0"/>
        <c:axPos val="l"/>
        <c:numFmt formatCode="General" sourceLinked="1"/>
        <c:majorTickMark val="out"/>
        <c:minorTickMark val="none"/>
        <c:tickLblPos val="nextTo"/>
        <c:crossAx val="292756480"/>
        <c:crosses val="autoZero"/>
        <c:crossBetween val="between"/>
      </c:valAx>
      <c:spPr>
        <a:solidFill>
          <a:schemeClr val="bg2">
            <a:lumMod val="75000"/>
          </a:schemeClr>
        </a:solidFill>
      </c:spPr>
    </c:plotArea>
    <c:legend>
      <c:legendPos val="r"/>
      <c:overlay val="0"/>
    </c:legend>
    <c:plotVisOnly val="1"/>
    <c:dispBlanksAs val="gap"/>
    <c:showDLblsOverMax val="0"/>
  </c:chart>
  <c:spPr>
    <a:gradFill flip="none" rotWithShape="1">
      <a:gsLst>
        <a:gs pos="0">
          <a:schemeClr val="bg2">
            <a:lumMod val="50000"/>
            <a:shade val="30000"/>
            <a:satMod val="115000"/>
          </a:schemeClr>
        </a:gs>
        <a:gs pos="50000">
          <a:schemeClr val="bg2">
            <a:lumMod val="50000"/>
            <a:shade val="67500"/>
            <a:satMod val="115000"/>
          </a:schemeClr>
        </a:gs>
        <a:gs pos="100000">
          <a:schemeClr val="bg2">
            <a:lumMod val="50000"/>
            <a:shade val="100000"/>
            <a:satMod val="115000"/>
          </a:schemeClr>
        </a:gs>
      </a:gsLst>
      <a:lin ang="0" scaled="1"/>
      <a:tileRect/>
    </a:gradFill>
  </c:spPr>
  <c:txPr>
    <a:bodyPr/>
    <a:lstStyle/>
    <a:p>
      <a:pPr algn="ctr">
        <a:defRPr lang="lt-LT"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159824216491272E-2"/>
          <c:y val="6.5110647861776574E-2"/>
          <c:w val="0.5798492195276701"/>
          <c:h val="0.778780881352649"/>
        </c:manualLayout>
      </c:layout>
      <c:barChart>
        <c:barDir val="col"/>
        <c:grouping val="clustered"/>
        <c:varyColors val="0"/>
        <c:ser>
          <c:idx val="0"/>
          <c:order val="0"/>
          <c:tx>
            <c:strRef>
              <c:f>Lapas1!$B$94</c:f>
              <c:strCache>
                <c:ptCount val="1"/>
                <c:pt idx="0">
                  <c:v>Tiesioginės užsienio investicijos, tenkančios 1 gyventojui, Eur</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Lapas1!$C$93:$F$93</c:f>
              <c:numCache>
                <c:formatCode>General</c:formatCode>
                <c:ptCount val="4"/>
                <c:pt idx="0">
                  <c:v>2014</c:v>
                </c:pt>
                <c:pt idx="1">
                  <c:v>2015</c:v>
                </c:pt>
                <c:pt idx="2">
                  <c:v>2016</c:v>
                </c:pt>
                <c:pt idx="3">
                  <c:v>2017</c:v>
                </c:pt>
              </c:numCache>
            </c:numRef>
          </c:cat>
          <c:val>
            <c:numRef>
              <c:f>Lapas1!$C$94:$F$94</c:f>
              <c:numCache>
                <c:formatCode>General</c:formatCode>
                <c:ptCount val="4"/>
                <c:pt idx="0">
                  <c:v>1219</c:v>
                </c:pt>
                <c:pt idx="1">
                  <c:v>1379</c:v>
                </c:pt>
                <c:pt idx="2">
                  <c:v>1468</c:v>
                </c:pt>
                <c:pt idx="3">
                  <c:v>1500</c:v>
                </c:pt>
              </c:numCache>
            </c:numRef>
          </c:val>
          <c:extLst xmlns:c16r2="http://schemas.microsoft.com/office/drawing/2015/06/chart">
            <c:ext xmlns:c16="http://schemas.microsoft.com/office/drawing/2014/chart" uri="{C3380CC4-5D6E-409C-BE32-E72D297353CC}">
              <c16:uniqueId val="{00000000-24AD-49A6-A726-E8B488ABE8A5}"/>
            </c:ext>
          </c:extLst>
        </c:ser>
        <c:dLbls>
          <c:showLegendKey val="0"/>
          <c:showVal val="0"/>
          <c:showCatName val="0"/>
          <c:showSerName val="0"/>
          <c:showPercent val="0"/>
          <c:showBubbleSize val="0"/>
        </c:dLbls>
        <c:gapWidth val="150"/>
        <c:axId val="283207168"/>
        <c:axId val="283208704"/>
      </c:barChart>
      <c:catAx>
        <c:axId val="283207168"/>
        <c:scaling>
          <c:orientation val="minMax"/>
        </c:scaling>
        <c:delete val="0"/>
        <c:axPos val="b"/>
        <c:numFmt formatCode="General" sourceLinked="1"/>
        <c:majorTickMark val="out"/>
        <c:minorTickMark val="none"/>
        <c:tickLblPos val="nextTo"/>
        <c:crossAx val="283208704"/>
        <c:crosses val="autoZero"/>
        <c:auto val="1"/>
        <c:lblAlgn val="ctr"/>
        <c:lblOffset val="100"/>
        <c:noMultiLvlLbl val="0"/>
      </c:catAx>
      <c:valAx>
        <c:axId val="283208704"/>
        <c:scaling>
          <c:orientation val="minMax"/>
        </c:scaling>
        <c:delete val="0"/>
        <c:axPos val="l"/>
        <c:numFmt formatCode="General" sourceLinked="1"/>
        <c:majorTickMark val="out"/>
        <c:minorTickMark val="none"/>
        <c:tickLblPos val="nextTo"/>
        <c:crossAx val="283207168"/>
        <c:crosses val="autoZero"/>
        <c:crossBetween val="between"/>
      </c:valAx>
      <c:spPr>
        <a:solidFill>
          <a:schemeClr val="bg2">
            <a:lumMod val="90000"/>
          </a:schemeClr>
        </a:solidFill>
      </c:spPr>
    </c:plotArea>
    <c:legend>
      <c:legendPos val="r"/>
      <c:layout>
        <c:manualLayout>
          <c:xMode val="edge"/>
          <c:yMode val="edge"/>
          <c:x val="0.67654320987654326"/>
          <c:y val="0.3707100942777376"/>
          <c:w val="0.30864197530864196"/>
          <c:h val="0.34386753658758257"/>
        </c:manualLayout>
      </c:layout>
      <c:overlay val="0"/>
    </c:legend>
    <c:plotVisOnly val="1"/>
    <c:dispBlanksAs val="gap"/>
    <c:showDLblsOverMax val="0"/>
  </c:chart>
  <c:spPr>
    <a:solidFill>
      <a:schemeClr val="bg2">
        <a:lumMod val="50000"/>
      </a:schemeClr>
    </a:soli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644424739525599E-2"/>
          <c:y val="6.0540885729548945E-2"/>
          <c:w val="0.6956070637479338"/>
          <c:h val="0.78910819147346645"/>
        </c:manualLayout>
      </c:layout>
      <c:barChart>
        <c:barDir val="col"/>
        <c:grouping val="clustered"/>
        <c:varyColors val="0"/>
        <c:ser>
          <c:idx val="0"/>
          <c:order val="0"/>
          <c:tx>
            <c:strRef>
              <c:f>Lapas1!$B$98</c:f>
              <c:strCache>
                <c:ptCount val="1"/>
                <c:pt idx="0">
                  <c:v>Materialinės investicijos, tūkst. Eur.</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Lapas1!$C$97:$F$97</c:f>
              <c:numCache>
                <c:formatCode>General</c:formatCode>
                <c:ptCount val="4"/>
                <c:pt idx="0">
                  <c:v>2015</c:v>
                </c:pt>
                <c:pt idx="1">
                  <c:v>2016</c:v>
                </c:pt>
                <c:pt idx="2">
                  <c:v>20017</c:v>
                </c:pt>
                <c:pt idx="3">
                  <c:v>2018</c:v>
                </c:pt>
              </c:numCache>
            </c:numRef>
          </c:cat>
          <c:val>
            <c:numRef>
              <c:f>Lapas1!$C$98:$F$98</c:f>
              <c:numCache>
                <c:formatCode>General</c:formatCode>
                <c:ptCount val="4"/>
                <c:pt idx="0">
                  <c:v>64.3</c:v>
                </c:pt>
                <c:pt idx="1">
                  <c:v>67.2</c:v>
                </c:pt>
                <c:pt idx="2">
                  <c:v>74.8</c:v>
                </c:pt>
                <c:pt idx="3">
                  <c:v>76.900000000000006</c:v>
                </c:pt>
              </c:numCache>
            </c:numRef>
          </c:val>
          <c:extLst xmlns:c16r2="http://schemas.microsoft.com/office/drawing/2015/06/chart">
            <c:ext xmlns:c16="http://schemas.microsoft.com/office/drawing/2014/chart" uri="{C3380CC4-5D6E-409C-BE32-E72D297353CC}">
              <c16:uniqueId val="{00000000-D359-482F-B198-4ECCE6220E9B}"/>
            </c:ext>
          </c:extLst>
        </c:ser>
        <c:dLbls>
          <c:showLegendKey val="0"/>
          <c:showVal val="0"/>
          <c:showCatName val="0"/>
          <c:showSerName val="0"/>
          <c:showPercent val="0"/>
          <c:showBubbleSize val="0"/>
        </c:dLbls>
        <c:gapWidth val="150"/>
        <c:axId val="292954112"/>
        <c:axId val="292955648"/>
      </c:barChart>
      <c:catAx>
        <c:axId val="292954112"/>
        <c:scaling>
          <c:orientation val="minMax"/>
        </c:scaling>
        <c:delete val="0"/>
        <c:axPos val="b"/>
        <c:numFmt formatCode="General" sourceLinked="1"/>
        <c:majorTickMark val="out"/>
        <c:minorTickMark val="none"/>
        <c:tickLblPos val="nextTo"/>
        <c:crossAx val="292955648"/>
        <c:crosses val="autoZero"/>
        <c:auto val="1"/>
        <c:lblAlgn val="ctr"/>
        <c:lblOffset val="100"/>
        <c:noMultiLvlLbl val="0"/>
      </c:catAx>
      <c:valAx>
        <c:axId val="292955648"/>
        <c:scaling>
          <c:orientation val="minMax"/>
        </c:scaling>
        <c:delete val="0"/>
        <c:axPos val="l"/>
        <c:numFmt formatCode="General" sourceLinked="1"/>
        <c:majorTickMark val="out"/>
        <c:minorTickMark val="none"/>
        <c:tickLblPos val="nextTo"/>
        <c:crossAx val="292954112"/>
        <c:crosses val="autoZero"/>
        <c:crossBetween val="between"/>
      </c:valAx>
      <c:spPr>
        <a:solidFill>
          <a:schemeClr val="bg2">
            <a:lumMod val="75000"/>
          </a:schemeClr>
        </a:solidFill>
      </c:spPr>
    </c:plotArea>
    <c:legend>
      <c:legendPos val="r"/>
      <c:layout>
        <c:manualLayout>
          <c:xMode val="edge"/>
          <c:yMode val="edge"/>
          <c:x val="0.74806064615454437"/>
          <c:y val="0.73651214055742376"/>
          <c:w val="0.23864418033168877"/>
          <c:h val="0.1924235100155004"/>
        </c:manualLayout>
      </c:layout>
      <c:overlay val="0"/>
      <c:txPr>
        <a:bodyPr/>
        <a:lstStyle/>
        <a:p>
          <a:pPr>
            <a:defRPr sz="1050"/>
          </a:pPr>
          <a:endParaRPr lang="lt-LT"/>
        </a:p>
      </c:txPr>
    </c:legend>
    <c:plotVisOnly val="1"/>
    <c:dispBlanksAs val="gap"/>
    <c:showDLblsOverMax val="0"/>
  </c:chart>
  <c:spPr>
    <a:gradFill flip="none" rotWithShape="1">
      <a:gsLst>
        <a:gs pos="0">
          <a:schemeClr val="bg2">
            <a:lumMod val="50000"/>
            <a:shade val="30000"/>
            <a:satMod val="115000"/>
          </a:schemeClr>
        </a:gs>
        <a:gs pos="50000">
          <a:schemeClr val="bg2">
            <a:lumMod val="50000"/>
            <a:shade val="67500"/>
            <a:satMod val="115000"/>
          </a:schemeClr>
        </a:gs>
        <a:gs pos="100000">
          <a:schemeClr val="bg2">
            <a:lumMod val="50000"/>
            <a:shade val="100000"/>
            <a:satMod val="115000"/>
          </a:schemeClr>
        </a:gs>
      </a:gsLst>
      <a:lin ang="0" scaled="1"/>
      <a:tileRect/>
    </a:gra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603696098562631E-2"/>
          <c:y val="0.10591838167331609"/>
          <c:w val="0.8476209262343235"/>
          <c:h val="0.57435993117074069"/>
        </c:manualLayout>
      </c:layout>
      <c:barChart>
        <c:barDir val="col"/>
        <c:grouping val="clustered"/>
        <c:varyColors val="0"/>
        <c:ser>
          <c:idx val="0"/>
          <c:order val="0"/>
          <c:tx>
            <c:strRef>
              <c:f>Lapas1!$B$30</c:f>
              <c:strCache>
                <c:ptCount val="1"/>
                <c:pt idx="0">
                  <c:v>Užimti gyventojai</c:v>
                </c:pt>
              </c:strCache>
            </c:strRef>
          </c:tx>
          <c:spPr>
            <a:solidFill>
              <a:schemeClr val="accent6">
                <a:lumMod val="75000"/>
              </a:schemeClr>
            </a:solidFill>
          </c:spPr>
          <c:invertIfNegative val="0"/>
          <c:dLbls>
            <c:dLbl>
              <c:idx val="0"/>
              <c:layout>
                <c:manualLayout>
                  <c:x val="0"/>
                  <c:y val="2.22841160458502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677-4B76-8D5F-CA900E873EB3}"/>
                </c:ext>
              </c:extLst>
            </c:dLbl>
            <c:dLbl>
              <c:idx val="1"/>
              <c:layout>
                <c:manualLayout>
                  <c:x val="0"/>
                  <c:y val="2.97121547278004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677-4B76-8D5F-CA900E873EB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Lapas1!$C$29:$F$29</c:f>
              <c:numCache>
                <c:formatCode>General</c:formatCode>
                <c:ptCount val="4"/>
                <c:pt idx="0">
                  <c:v>2015</c:v>
                </c:pt>
                <c:pt idx="1">
                  <c:v>2016</c:v>
                </c:pt>
                <c:pt idx="2">
                  <c:v>2017</c:v>
                </c:pt>
                <c:pt idx="3">
                  <c:v>2018</c:v>
                </c:pt>
              </c:numCache>
            </c:numRef>
          </c:cat>
          <c:val>
            <c:numRef>
              <c:f>Lapas1!$C$30:$F$30</c:f>
              <c:numCache>
                <c:formatCode>General</c:formatCode>
                <c:ptCount val="4"/>
                <c:pt idx="0">
                  <c:v>26.8</c:v>
                </c:pt>
                <c:pt idx="1">
                  <c:v>27.3</c:v>
                </c:pt>
                <c:pt idx="2">
                  <c:v>25</c:v>
                </c:pt>
                <c:pt idx="3">
                  <c:v>24.1</c:v>
                </c:pt>
              </c:numCache>
            </c:numRef>
          </c:val>
          <c:extLst xmlns:c16r2="http://schemas.microsoft.com/office/drawing/2015/06/chart">
            <c:ext xmlns:c16="http://schemas.microsoft.com/office/drawing/2014/chart" uri="{C3380CC4-5D6E-409C-BE32-E72D297353CC}">
              <c16:uniqueId val="{00000002-1677-4B76-8D5F-CA900E873EB3}"/>
            </c:ext>
          </c:extLst>
        </c:ser>
        <c:dLbls>
          <c:showLegendKey val="0"/>
          <c:showVal val="0"/>
          <c:showCatName val="0"/>
          <c:showSerName val="0"/>
          <c:showPercent val="0"/>
          <c:showBubbleSize val="0"/>
        </c:dLbls>
        <c:gapWidth val="150"/>
        <c:axId val="293456896"/>
        <c:axId val="293487360"/>
      </c:barChart>
      <c:catAx>
        <c:axId val="293456896"/>
        <c:scaling>
          <c:orientation val="minMax"/>
        </c:scaling>
        <c:delete val="0"/>
        <c:axPos val="b"/>
        <c:numFmt formatCode="General" sourceLinked="1"/>
        <c:majorTickMark val="out"/>
        <c:minorTickMark val="none"/>
        <c:tickLblPos val="nextTo"/>
        <c:crossAx val="293487360"/>
        <c:crosses val="autoZero"/>
        <c:auto val="1"/>
        <c:lblAlgn val="ctr"/>
        <c:lblOffset val="100"/>
        <c:noMultiLvlLbl val="0"/>
      </c:catAx>
      <c:valAx>
        <c:axId val="293487360"/>
        <c:scaling>
          <c:orientation val="minMax"/>
        </c:scaling>
        <c:delete val="1"/>
        <c:axPos val="l"/>
        <c:numFmt formatCode="General" sourceLinked="1"/>
        <c:majorTickMark val="out"/>
        <c:minorTickMark val="none"/>
        <c:tickLblPos val="nextTo"/>
        <c:crossAx val="293456896"/>
        <c:crosses val="autoZero"/>
        <c:crossBetween val="between"/>
      </c:valAx>
      <c:spPr>
        <a:solidFill>
          <a:schemeClr val="bg2">
            <a:lumMod val="90000"/>
          </a:schemeClr>
        </a:solidFill>
      </c:spPr>
    </c:plotArea>
    <c:legend>
      <c:legendPos val="r"/>
      <c:layout>
        <c:manualLayout>
          <c:xMode val="edge"/>
          <c:yMode val="edge"/>
          <c:x val="0.69275420467207594"/>
          <c:y val="0.83322003954557688"/>
          <c:w val="0.29062989945420487"/>
          <c:h val="0.11753847665548757"/>
        </c:manualLayout>
      </c:layout>
      <c:overlay val="0"/>
    </c:legend>
    <c:plotVisOnly val="1"/>
    <c:dispBlanksAs val="gap"/>
    <c:showDLblsOverMax val="0"/>
  </c:chart>
  <c:spPr>
    <a:gradFill flip="none" rotWithShape="1">
      <a:gsLst>
        <a:gs pos="0">
          <a:schemeClr val="bg2">
            <a:lumMod val="50000"/>
            <a:shade val="30000"/>
            <a:satMod val="115000"/>
          </a:schemeClr>
        </a:gs>
        <a:gs pos="50000">
          <a:schemeClr val="bg2">
            <a:lumMod val="50000"/>
            <a:shade val="67500"/>
            <a:satMod val="115000"/>
          </a:schemeClr>
        </a:gs>
        <a:gs pos="100000">
          <a:schemeClr val="bg2">
            <a:lumMod val="50000"/>
            <a:shade val="100000"/>
            <a:satMod val="115000"/>
          </a:schemeClr>
        </a:gs>
      </a:gsLst>
      <a:lin ang="18900000" scaled="1"/>
      <a:tileRect/>
    </a:gra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026314018440003E-2"/>
          <c:y val="5.4479716351245565E-2"/>
          <c:w val="0.59815650162373779"/>
          <c:h val="0.50706377492287158"/>
        </c:manualLayout>
      </c:layout>
      <c:barChart>
        <c:barDir val="col"/>
        <c:grouping val="clustered"/>
        <c:varyColors val="0"/>
        <c:ser>
          <c:idx val="1"/>
          <c:order val="0"/>
          <c:tx>
            <c:strRef>
              <c:f>Lapas1!$B$5</c:f>
              <c:strCache>
                <c:ptCount val="1"/>
                <c:pt idx="0">
                  <c:v>Registruotų bedarbių ir darbingo amžiaus gyventojų santykis (proc.)</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Lapas1!$C$4:$F$4</c:f>
              <c:numCache>
                <c:formatCode>General</c:formatCode>
                <c:ptCount val="4"/>
                <c:pt idx="0">
                  <c:v>2015</c:v>
                </c:pt>
                <c:pt idx="1">
                  <c:v>2016</c:v>
                </c:pt>
                <c:pt idx="2">
                  <c:v>2017</c:v>
                </c:pt>
                <c:pt idx="3">
                  <c:v>2018</c:v>
                </c:pt>
              </c:numCache>
            </c:numRef>
          </c:cat>
          <c:val>
            <c:numRef>
              <c:f>Lapas1!$C$5:$F$5</c:f>
              <c:numCache>
                <c:formatCode>General</c:formatCode>
                <c:ptCount val="4"/>
                <c:pt idx="0">
                  <c:v>11.4</c:v>
                </c:pt>
                <c:pt idx="1">
                  <c:v>10.3</c:v>
                </c:pt>
                <c:pt idx="2">
                  <c:v>9.3000000000000007</c:v>
                </c:pt>
                <c:pt idx="3" formatCode="0.0">
                  <c:v>9.4</c:v>
                </c:pt>
              </c:numCache>
            </c:numRef>
          </c:val>
          <c:extLst xmlns:c16r2="http://schemas.microsoft.com/office/drawing/2015/06/chart">
            <c:ext xmlns:c16="http://schemas.microsoft.com/office/drawing/2014/chart" uri="{C3380CC4-5D6E-409C-BE32-E72D297353CC}">
              <c16:uniqueId val="{00000000-AB5F-4DBA-90C0-C7281098C19A}"/>
            </c:ext>
          </c:extLst>
        </c:ser>
        <c:dLbls>
          <c:showLegendKey val="0"/>
          <c:showVal val="0"/>
          <c:showCatName val="0"/>
          <c:showSerName val="0"/>
          <c:showPercent val="0"/>
          <c:showBubbleSize val="0"/>
        </c:dLbls>
        <c:gapWidth val="150"/>
        <c:axId val="293230080"/>
        <c:axId val="293231616"/>
      </c:barChart>
      <c:catAx>
        <c:axId val="293230080"/>
        <c:scaling>
          <c:orientation val="minMax"/>
        </c:scaling>
        <c:delete val="0"/>
        <c:axPos val="b"/>
        <c:numFmt formatCode="General" sourceLinked="1"/>
        <c:majorTickMark val="out"/>
        <c:minorTickMark val="none"/>
        <c:tickLblPos val="nextTo"/>
        <c:crossAx val="293231616"/>
        <c:crosses val="autoZero"/>
        <c:auto val="1"/>
        <c:lblAlgn val="ctr"/>
        <c:lblOffset val="100"/>
        <c:noMultiLvlLbl val="0"/>
      </c:catAx>
      <c:valAx>
        <c:axId val="293231616"/>
        <c:scaling>
          <c:orientation val="minMax"/>
        </c:scaling>
        <c:delete val="0"/>
        <c:axPos val="l"/>
        <c:numFmt formatCode="General" sourceLinked="1"/>
        <c:majorTickMark val="out"/>
        <c:minorTickMark val="none"/>
        <c:tickLblPos val="nextTo"/>
        <c:crossAx val="293230080"/>
        <c:crosses val="autoZero"/>
        <c:crossBetween val="between"/>
      </c:valAx>
      <c:spPr>
        <a:solidFill>
          <a:schemeClr val="bg2">
            <a:lumMod val="90000"/>
          </a:schemeClr>
        </a:solidFill>
        <a:ln w="25400">
          <a:noFill/>
        </a:ln>
      </c:spPr>
    </c:plotArea>
    <c:legend>
      <c:legendPos val="r"/>
      <c:overlay val="0"/>
    </c:legend>
    <c:plotVisOnly val="1"/>
    <c:dispBlanksAs val="gap"/>
    <c:showDLblsOverMax val="0"/>
  </c:chart>
  <c:spPr>
    <a:gradFill flip="none" rotWithShape="1">
      <a:gsLst>
        <a:gs pos="0">
          <a:schemeClr val="bg2">
            <a:lumMod val="50000"/>
            <a:shade val="30000"/>
            <a:satMod val="115000"/>
          </a:schemeClr>
        </a:gs>
        <a:gs pos="50000">
          <a:schemeClr val="bg2">
            <a:lumMod val="50000"/>
            <a:shade val="67500"/>
            <a:satMod val="115000"/>
          </a:schemeClr>
        </a:gs>
        <a:gs pos="100000">
          <a:schemeClr val="bg2">
            <a:lumMod val="50000"/>
            <a:shade val="100000"/>
            <a:satMod val="115000"/>
          </a:schemeClr>
        </a:gs>
      </a:gsLst>
      <a:lin ang="0" scaled="1"/>
      <a:tileRect/>
    </a:gra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405528657246751E-2"/>
          <c:y val="6.4046579330422126E-2"/>
          <c:w val="0.60345830195534578"/>
          <c:h val="0.65347866451191416"/>
        </c:manualLayout>
      </c:layout>
      <c:barChart>
        <c:barDir val="col"/>
        <c:grouping val="clustered"/>
        <c:varyColors val="0"/>
        <c:ser>
          <c:idx val="0"/>
          <c:order val="0"/>
          <c:tx>
            <c:strRef>
              <c:f>Lapas1!$B$77</c:f>
              <c:strCache>
                <c:ptCount val="1"/>
                <c:pt idx="0">
                  <c:v>Vidutinis mėnesinis darbo užmokestis Eur</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Lapas1!$C$76:$G$76</c:f>
              <c:numCache>
                <c:formatCode>General</c:formatCode>
                <c:ptCount val="5"/>
                <c:pt idx="0">
                  <c:v>2015</c:v>
                </c:pt>
                <c:pt idx="1">
                  <c:v>2016</c:v>
                </c:pt>
                <c:pt idx="2">
                  <c:v>2017</c:v>
                </c:pt>
                <c:pt idx="3">
                  <c:v>2018</c:v>
                </c:pt>
              </c:numCache>
            </c:numRef>
          </c:cat>
          <c:val>
            <c:numRef>
              <c:f>Lapas1!$C$77:$G$77</c:f>
              <c:numCache>
                <c:formatCode>General</c:formatCode>
                <c:ptCount val="5"/>
                <c:pt idx="0">
                  <c:v>644.1</c:v>
                </c:pt>
                <c:pt idx="1">
                  <c:v>693.1</c:v>
                </c:pt>
                <c:pt idx="2">
                  <c:v>758.4</c:v>
                </c:pt>
                <c:pt idx="3">
                  <c:v>818.4</c:v>
                </c:pt>
              </c:numCache>
            </c:numRef>
          </c:val>
          <c:extLst xmlns:c16r2="http://schemas.microsoft.com/office/drawing/2015/06/chart">
            <c:ext xmlns:c16="http://schemas.microsoft.com/office/drawing/2014/chart" uri="{C3380CC4-5D6E-409C-BE32-E72D297353CC}">
              <c16:uniqueId val="{00000000-1577-4D10-AE08-EE8A33F74926}"/>
            </c:ext>
          </c:extLst>
        </c:ser>
        <c:dLbls>
          <c:showLegendKey val="0"/>
          <c:showVal val="0"/>
          <c:showCatName val="0"/>
          <c:showSerName val="0"/>
          <c:showPercent val="0"/>
          <c:showBubbleSize val="0"/>
        </c:dLbls>
        <c:gapWidth val="150"/>
        <c:axId val="293433344"/>
        <c:axId val="293434880"/>
      </c:barChart>
      <c:catAx>
        <c:axId val="293433344"/>
        <c:scaling>
          <c:orientation val="minMax"/>
        </c:scaling>
        <c:delete val="0"/>
        <c:axPos val="b"/>
        <c:numFmt formatCode="General" sourceLinked="1"/>
        <c:majorTickMark val="out"/>
        <c:minorTickMark val="none"/>
        <c:tickLblPos val="nextTo"/>
        <c:crossAx val="293434880"/>
        <c:crosses val="autoZero"/>
        <c:auto val="1"/>
        <c:lblAlgn val="ctr"/>
        <c:lblOffset val="100"/>
        <c:noMultiLvlLbl val="0"/>
      </c:catAx>
      <c:valAx>
        <c:axId val="293434880"/>
        <c:scaling>
          <c:orientation val="minMax"/>
        </c:scaling>
        <c:delete val="0"/>
        <c:axPos val="l"/>
        <c:numFmt formatCode="General" sourceLinked="1"/>
        <c:majorTickMark val="out"/>
        <c:minorTickMark val="none"/>
        <c:tickLblPos val="nextTo"/>
        <c:crossAx val="293433344"/>
        <c:crosses val="autoZero"/>
        <c:crossBetween val="between"/>
      </c:valAx>
      <c:spPr>
        <a:solidFill>
          <a:schemeClr val="bg2">
            <a:lumMod val="90000"/>
          </a:schemeClr>
        </a:solidFill>
      </c:spPr>
    </c:plotArea>
    <c:legend>
      <c:legendPos val="r"/>
      <c:overlay val="0"/>
      <c:txPr>
        <a:bodyPr/>
        <a:lstStyle/>
        <a:p>
          <a:pPr>
            <a:defRPr sz="1100"/>
          </a:pPr>
          <a:endParaRPr lang="lt-LT"/>
        </a:p>
      </c:txPr>
    </c:legend>
    <c:plotVisOnly val="1"/>
    <c:dispBlanksAs val="gap"/>
    <c:showDLblsOverMax val="0"/>
  </c:chart>
  <c:spPr>
    <a:solidFill>
      <a:schemeClr val="bg2">
        <a:lumMod val="50000"/>
      </a:schemeClr>
    </a:solidFill>
  </c:spPr>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08333333333333"/>
          <c:y val="0.10483814523184602"/>
          <c:w val="0.70262035850169891"/>
          <c:h val="0.63514092738407701"/>
        </c:manualLayout>
      </c:layout>
      <c:barChart>
        <c:barDir val="col"/>
        <c:grouping val="clustered"/>
        <c:varyColors val="0"/>
        <c:ser>
          <c:idx val="0"/>
          <c:order val="0"/>
          <c:tx>
            <c:strRef>
              <c:f>Lapas1!$B$61</c:f>
              <c:strCache>
                <c:ptCount val="1"/>
                <c:pt idx="0">
                  <c:v>Veikiančių ūkio subjektų skaičius</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Lapas1!$D$60:$G$60</c:f>
              <c:numCache>
                <c:formatCode>General</c:formatCode>
                <c:ptCount val="4"/>
                <c:pt idx="0">
                  <c:v>2016</c:v>
                </c:pt>
                <c:pt idx="1">
                  <c:v>2017</c:v>
                </c:pt>
                <c:pt idx="2">
                  <c:v>2018</c:v>
                </c:pt>
                <c:pt idx="3">
                  <c:v>2019</c:v>
                </c:pt>
              </c:numCache>
            </c:numRef>
          </c:cat>
          <c:val>
            <c:numRef>
              <c:f>Lapas1!$D$61:$G$61</c:f>
              <c:numCache>
                <c:formatCode>General</c:formatCode>
                <c:ptCount val="4"/>
                <c:pt idx="0">
                  <c:v>1749</c:v>
                </c:pt>
                <c:pt idx="1">
                  <c:v>1858</c:v>
                </c:pt>
                <c:pt idx="2">
                  <c:v>1826</c:v>
                </c:pt>
                <c:pt idx="3">
                  <c:v>1843</c:v>
                </c:pt>
              </c:numCache>
            </c:numRef>
          </c:val>
          <c:extLst xmlns:c16r2="http://schemas.microsoft.com/office/drawing/2015/06/chart">
            <c:ext xmlns:c16="http://schemas.microsoft.com/office/drawing/2014/chart" uri="{C3380CC4-5D6E-409C-BE32-E72D297353CC}">
              <c16:uniqueId val="{00000000-5A0E-4B4A-8340-ECD944573480}"/>
            </c:ext>
          </c:extLst>
        </c:ser>
        <c:ser>
          <c:idx val="1"/>
          <c:order val="1"/>
          <c:tx>
            <c:strRef>
              <c:f>Lapas1!$B$62</c:f>
              <c:strCache>
                <c:ptCount val="1"/>
                <c:pt idx="0">
                  <c:v>Veikiančių  įmonių skaičius</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Lapas1!$D$60:$G$60</c:f>
              <c:numCache>
                <c:formatCode>General</c:formatCode>
                <c:ptCount val="4"/>
                <c:pt idx="0">
                  <c:v>2016</c:v>
                </c:pt>
                <c:pt idx="1">
                  <c:v>2017</c:v>
                </c:pt>
                <c:pt idx="2">
                  <c:v>2018</c:v>
                </c:pt>
                <c:pt idx="3">
                  <c:v>2019</c:v>
                </c:pt>
              </c:numCache>
            </c:numRef>
          </c:cat>
          <c:val>
            <c:numRef>
              <c:f>Lapas1!$D$62:$G$62</c:f>
              <c:numCache>
                <c:formatCode>General</c:formatCode>
                <c:ptCount val="4"/>
                <c:pt idx="0">
                  <c:v>1234</c:v>
                </c:pt>
                <c:pt idx="1">
                  <c:v>1302</c:v>
                </c:pt>
                <c:pt idx="2">
                  <c:v>1261</c:v>
                </c:pt>
                <c:pt idx="3">
                  <c:v>1282</c:v>
                </c:pt>
              </c:numCache>
            </c:numRef>
          </c:val>
          <c:extLst xmlns:c16r2="http://schemas.microsoft.com/office/drawing/2015/06/chart">
            <c:ext xmlns:c16="http://schemas.microsoft.com/office/drawing/2014/chart" uri="{C3380CC4-5D6E-409C-BE32-E72D297353CC}">
              <c16:uniqueId val="{00000001-5A0E-4B4A-8340-ECD944573480}"/>
            </c:ext>
          </c:extLst>
        </c:ser>
        <c:dLbls>
          <c:showLegendKey val="0"/>
          <c:showVal val="0"/>
          <c:showCatName val="0"/>
          <c:showSerName val="0"/>
          <c:showPercent val="0"/>
          <c:showBubbleSize val="0"/>
        </c:dLbls>
        <c:gapWidth val="150"/>
        <c:axId val="283673728"/>
        <c:axId val="283675264"/>
      </c:barChart>
      <c:catAx>
        <c:axId val="283673728"/>
        <c:scaling>
          <c:orientation val="minMax"/>
        </c:scaling>
        <c:delete val="0"/>
        <c:axPos val="b"/>
        <c:numFmt formatCode="General" sourceLinked="1"/>
        <c:majorTickMark val="out"/>
        <c:minorTickMark val="none"/>
        <c:tickLblPos val="nextTo"/>
        <c:crossAx val="283675264"/>
        <c:crosses val="autoZero"/>
        <c:auto val="1"/>
        <c:lblAlgn val="ctr"/>
        <c:lblOffset val="100"/>
        <c:noMultiLvlLbl val="0"/>
      </c:catAx>
      <c:valAx>
        <c:axId val="283675264"/>
        <c:scaling>
          <c:orientation val="minMax"/>
        </c:scaling>
        <c:delete val="0"/>
        <c:axPos val="l"/>
        <c:numFmt formatCode="General" sourceLinked="1"/>
        <c:majorTickMark val="out"/>
        <c:minorTickMark val="none"/>
        <c:tickLblPos val="nextTo"/>
        <c:crossAx val="283673728"/>
        <c:crosses val="autoZero"/>
        <c:crossBetween val="between"/>
      </c:valAx>
      <c:spPr>
        <a:solidFill>
          <a:schemeClr val="bg2">
            <a:lumMod val="90000"/>
          </a:schemeClr>
        </a:solidFill>
      </c:spPr>
    </c:plotArea>
    <c:legend>
      <c:legendPos val="b"/>
      <c:overlay val="0"/>
    </c:legend>
    <c:plotVisOnly val="1"/>
    <c:dispBlanksAs val="gap"/>
    <c:showDLblsOverMax val="0"/>
  </c:chart>
  <c:spPr>
    <a:solidFill>
      <a:schemeClr val="bg2">
        <a:lumMod val="50000"/>
      </a:schemeClr>
    </a:solidFill>
  </c:spPr>
  <c:txPr>
    <a:bodyPr/>
    <a:lstStyle/>
    <a:p>
      <a:pPr>
        <a:defRPr sz="1200">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BD89-D842-4B9E-B36D-65F3818E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24138</Words>
  <Characters>13759</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Dalytė Žukaitienė</dc:creator>
  <cp:lastModifiedBy>Raimonda</cp:lastModifiedBy>
  <cp:revision>2</cp:revision>
  <cp:lastPrinted>2019-10-22T06:37:00Z</cp:lastPrinted>
  <dcterms:created xsi:type="dcterms:W3CDTF">2019-12-09T13:07:00Z</dcterms:created>
  <dcterms:modified xsi:type="dcterms:W3CDTF">2019-12-09T13:07:00Z</dcterms:modified>
</cp:coreProperties>
</file>